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77777777" w:rsidR="00A174CC" w:rsidRDefault="008815EE">
            <w:pPr>
              <w:pStyle w:val="BodyTextIndent"/>
              <w:ind w:left="0" w:firstLine="0"/>
              <w:jc w:val="center"/>
              <w:rPr>
                <w:rFonts w:ascii="Arial" w:hAnsi="Arial" w:cs="Arial"/>
                <w:b/>
                <w:bCs/>
                <w:i/>
                <w:sz w:val="28"/>
                <w:szCs w:val="28"/>
              </w:rPr>
            </w:pPr>
            <w:r>
              <w:rPr>
                <w:rFonts w:ascii="Arial" w:hAnsi="Arial" w:cs="Arial"/>
                <w:b/>
                <w:bCs/>
                <w:color w:val="0000FF"/>
                <w:sz w:val="28"/>
                <w:szCs w:val="28"/>
              </w:rPr>
              <w:t>to be assigned by ICTV officers</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33F9CA7D" w:rsidR="00A174CC" w:rsidRPr="000A146A" w:rsidRDefault="008815EE" w:rsidP="00257966">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D33A63">
              <w:rPr>
                <w:rFonts w:ascii="Arial" w:hAnsi="Arial" w:cs="Arial"/>
                <w:bCs/>
              </w:rPr>
              <w:t xml:space="preserve">To create two single-species genera, </w:t>
            </w:r>
            <w:r w:rsidR="00D33A63" w:rsidRPr="00864E72">
              <w:rPr>
                <w:rFonts w:ascii="Arial" w:hAnsi="Arial" w:cs="Arial"/>
                <w:bCs/>
                <w:i/>
                <w:iCs/>
              </w:rPr>
              <w:t>Athenavirus</w:t>
            </w:r>
            <w:r w:rsidR="00D33A63">
              <w:rPr>
                <w:rFonts w:ascii="Arial" w:hAnsi="Arial" w:cs="Arial"/>
                <w:bCs/>
              </w:rPr>
              <w:t xml:space="preserve"> and </w:t>
            </w:r>
            <w:r w:rsidR="00D33A63" w:rsidRPr="00094D73">
              <w:rPr>
                <w:rFonts w:ascii="Arial" w:hAnsi="Arial" w:cs="Arial"/>
                <w:bCs/>
                <w:i/>
                <w:iCs/>
              </w:rPr>
              <w:t>Theosmithvirus</w:t>
            </w:r>
            <w:r w:rsidR="00D33A63">
              <w:rPr>
                <w:rFonts w:ascii="Arial" w:hAnsi="Arial" w:cs="Arial"/>
                <w:bCs/>
              </w:rPr>
              <w:t xml:space="preserve"> [</w:t>
            </w:r>
            <w:r w:rsidR="00D33A63" w:rsidRPr="00255BAE">
              <w:rPr>
                <w:rFonts w:ascii="Arial" w:hAnsi="Arial" w:cs="Arial"/>
                <w:bCs/>
                <w:i/>
                <w:iCs/>
              </w:rPr>
              <w:t>Caudoviricetes</w:t>
            </w:r>
            <w:r w:rsidR="00D33A63">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D33A63" w14:paraId="67E4419A" w14:textId="77777777" w:rsidTr="00257966">
        <w:tc>
          <w:tcPr>
            <w:tcW w:w="4368" w:type="dxa"/>
            <w:shd w:val="clear" w:color="auto" w:fill="auto"/>
          </w:tcPr>
          <w:p w14:paraId="04EDA256" w14:textId="77777777" w:rsidR="00D33A63" w:rsidRDefault="00D33A63" w:rsidP="00D33A63">
            <w:pPr>
              <w:rPr>
                <w:rFonts w:ascii="Arial" w:hAnsi="Arial" w:cs="Arial"/>
                <w:sz w:val="22"/>
                <w:szCs w:val="22"/>
              </w:rPr>
            </w:pPr>
            <w:r>
              <w:rPr>
                <w:rFonts w:ascii="Arial" w:hAnsi="Arial" w:cs="Arial"/>
                <w:sz w:val="22"/>
                <w:szCs w:val="22"/>
              </w:rPr>
              <w:t xml:space="preserve">Serwer P, Barylski J, Turner D, </w:t>
            </w:r>
            <w:r w:rsidRPr="009B0276">
              <w:rPr>
                <w:rFonts w:ascii="Arial" w:hAnsi="Arial" w:cs="Arial"/>
                <w:sz w:val="22"/>
                <w:szCs w:val="22"/>
              </w:rPr>
              <w:t xml:space="preserve">Moraru C, </w:t>
            </w:r>
            <w:r>
              <w:rPr>
                <w:rFonts w:ascii="Arial" w:hAnsi="Arial" w:cs="Arial"/>
                <w:sz w:val="22"/>
                <w:szCs w:val="22"/>
              </w:rPr>
              <w:t>Tolstoy I, Kropinski AM</w:t>
            </w:r>
          </w:p>
          <w:p w14:paraId="2B79816E" w14:textId="77777777" w:rsidR="00D33A63" w:rsidRDefault="00D33A63" w:rsidP="00D33A63">
            <w:pPr>
              <w:rPr>
                <w:rFonts w:ascii="Arial" w:hAnsi="Arial" w:cs="Arial"/>
                <w:sz w:val="22"/>
                <w:szCs w:val="22"/>
              </w:rPr>
            </w:pPr>
          </w:p>
          <w:p w14:paraId="6F6717AC" w14:textId="77777777" w:rsidR="00D33A63" w:rsidRDefault="00D33A63" w:rsidP="00D33A63">
            <w:pPr>
              <w:rPr>
                <w:rFonts w:ascii="Arial" w:hAnsi="Arial" w:cs="Arial"/>
                <w:sz w:val="22"/>
                <w:szCs w:val="22"/>
              </w:rPr>
            </w:pPr>
          </w:p>
          <w:p w14:paraId="610422F5" w14:textId="77777777" w:rsidR="00D33A63" w:rsidRDefault="00D33A63" w:rsidP="00D33A63">
            <w:pPr>
              <w:rPr>
                <w:rFonts w:ascii="Arial" w:hAnsi="Arial" w:cs="Arial"/>
                <w:sz w:val="22"/>
                <w:szCs w:val="22"/>
              </w:rPr>
            </w:pPr>
          </w:p>
          <w:p w14:paraId="5B4DA008" w14:textId="77777777" w:rsidR="00D33A63" w:rsidRDefault="00D33A63" w:rsidP="00D33A63">
            <w:pPr>
              <w:rPr>
                <w:rFonts w:ascii="Arial" w:hAnsi="Arial" w:cs="Arial"/>
                <w:sz w:val="22"/>
                <w:szCs w:val="22"/>
              </w:rPr>
            </w:pPr>
          </w:p>
        </w:tc>
        <w:tc>
          <w:tcPr>
            <w:tcW w:w="4704" w:type="dxa"/>
            <w:shd w:val="clear" w:color="auto" w:fill="auto"/>
          </w:tcPr>
          <w:p w14:paraId="4C0145EC" w14:textId="76BE0C68" w:rsidR="00D33A63" w:rsidRDefault="00D33A63" w:rsidP="00D33A63">
            <w:pPr>
              <w:rPr>
                <w:rFonts w:ascii="Arial" w:hAnsi="Arial" w:cs="Arial"/>
                <w:sz w:val="22"/>
                <w:szCs w:val="22"/>
              </w:rPr>
            </w:pPr>
            <w:r w:rsidRPr="00702B4C">
              <w:rPr>
                <w:rFonts w:ascii="Arial" w:hAnsi="Arial" w:cs="Arial"/>
                <w:sz w:val="22"/>
                <w:szCs w:val="22"/>
              </w:rPr>
              <w:t>serwer@uthscsa.edu; jakub.barylski@gmail.com; Dann2.Turner@uwe.ac.uk; liliana.cristina.moraru@uol.de; tolstoy@ncbi.nlm.nih.gov; Phage.Canada@gmail.com</w:t>
            </w:r>
          </w:p>
        </w:tc>
      </w:tr>
    </w:tbl>
    <w:p w14:paraId="66BE9775" w14:textId="7693B3B7" w:rsidR="00A174CC" w:rsidRPr="002D5209" w:rsidRDefault="008815EE" w:rsidP="002D5209">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0668C783" w14:textId="77777777" w:rsidR="00D33A63" w:rsidRDefault="00D33A63" w:rsidP="00D33A63">
            <w:pPr>
              <w:rPr>
                <w:rFonts w:ascii="Arial" w:hAnsi="Arial" w:cs="Arial"/>
                <w:sz w:val="22"/>
                <w:szCs w:val="22"/>
              </w:rPr>
            </w:pPr>
            <w:r w:rsidRPr="00094D73">
              <w:rPr>
                <w:rFonts w:ascii="Arial" w:hAnsi="Arial" w:cs="Arial"/>
                <w:sz w:val="22"/>
                <w:szCs w:val="22"/>
              </w:rPr>
              <w:t>University of Texas Health Science Center</w:t>
            </w:r>
            <w:r>
              <w:rPr>
                <w:rFonts w:ascii="Arial" w:hAnsi="Arial" w:cs="Arial"/>
                <w:sz w:val="22"/>
                <w:szCs w:val="22"/>
              </w:rPr>
              <w:t xml:space="preserve">, </w:t>
            </w:r>
            <w:r w:rsidRPr="00094D73">
              <w:rPr>
                <w:rFonts w:ascii="Arial" w:hAnsi="Arial" w:cs="Arial"/>
                <w:sz w:val="22"/>
                <w:szCs w:val="22"/>
              </w:rPr>
              <w:t>San Antonio, TX</w:t>
            </w:r>
            <w:r>
              <w:rPr>
                <w:rFonts w:ascii="Arial" w:hAnsi="Arial" w:cs="Arial"/>
                <w:sz w:val="22"/>
                <w:szCs w:val="22"/>
              </w:rPr>
              <w:t>, USA [PS]</w:t>
            </w:r>
          </w:p>
          <w:p w14:paraId="7CBAA934" w14:textId="77777777" w:rsidR="00D33A63" w:rsidRPr="002D5209" w:rsidRDefault="00D33A63" w:rsidP="00D33A63">
            <w:pPr>
              <w:rPr>
                <w:rFonts w:ascii="Arial" w:hAnsi="Arial" w:cs="Arial"/>
                <w:sz w:val="22"/>
                <w:szCs w:val="22"/>
                <w:lang w:val="pl-PL"/>
              </w:rPr>
            </w:pPr>
            <w:r w:rsidRPr="002D5209">
              <w:rPr>
                <w:rFonts w:ascii="Arial" w:hAnsi="Arial" w:cs="Arial"/>
                <w:sz w:val="22"/>
                <w:szCs w:val="22"/>
                <w:lang w:val="pl-PL"/>
              </w:rPr>
              <w:t>Adam Mickiewicz University, Poznan, Poland [JB]</w:t>
            </w:r>
          </w:p>
          <w:p w14:paraId="1FFA2E12" w14:textId="77777777" w:rsidR="00D33A63" w:rsidRDefault="00D33A63" w:rsidP="00D33A63">
            <w:pPr>
              <w:rPr>
                <w:rFonts w:ascii="Arial" w:hAnsi="Arial" w:cs="Arial"/>
                <w:sz w:val="22"/>
                <w:szCs w:val="22"/>
              </w:rPr>
            </w:pPr>
            <w:r w:rsidRPr="00E90CA3">
              <w:rPr>
                <w:rFonts w:ascii="Arial" w:hAnsi="Arial" w:cs="Arial"/>
                <w:sz w:val="22"/>
                <w:szCs w:val="22"/>
              </w:rPr>
              <w:t>University of the West of England, Bristol</w:t>
            </w:r>
            <w:r>
              <w:rPr>
                <w:rFonts w:ascii="Arial" w:hAnsi="Arial" w:cs="Arial"/>
                <w:sz w:val="22"/>
                <w:szCs w:val="22"/>
              </w:rPr>
              <w:t>, UK [DT]</w:t>
            </w:r>
          </w:p>
          <w:p w14:paraId="5BC63DE2" w14:textId="77777777" w:rsidR="00D33A63" w:rsidRPr="002D5209" w:rsidRDefault="00D33A63" w:rsidP="00D33A63">
            <w:pPr>
              <w:rPr>
                <w:rFonts w:ascii="Arial" w:hAnsi="Arial" w:cs="Arial"/>
                <w:sz w:val="22"/>
                <w:szCs w:val="22"/>
                <w:lang w:val="de-DE"/>
              </w:rPr>
            </w:pPr>
            <w:r w:rsidRPr="002D5209">
              <w:rPr>
                <w:rFonts w:ascii="Arial" w:hAnsi="Arial" w:cs="Arial"/>
                <w:sz w:val="22"/>
                <w:szCs w:val="22"/>
                <w:lang w:val="de-DE"/>
              </w:rPr>
              <w:t>Carl von Ossietzky Universität Oldenburg, Germany [CM]</w:t>
            </w:r>
          </w:p>
          <w:p w14:paraId="5F40DCAB" w14:textId="77777777" w:rsidR="00D33A63" w:rsidRDefault="00D33A63" w:rsidP="00D33A63">
            <w:pPr>
              <w:rPr>
                <w:rFonts w:ascii="Arial" w:hAnsi="Arial" w:cs="Arial"/>
                <w:sz w:val="22"/>
                <w:szCs w:val="22"/>
              </w:rPr>
            </w:pPr>
            <w:r w:rsidRPr="009B0276">
              <w:rPr>
                <w:rFonts w:ascii="Arial" w:hAnsi="Arial" w:cs="Arial"/>
                <w:sz w:val="22"/>
                <w:szCs w:val="22"/>
              </w:rPr>
              <w:t xml:space="preserve">National Center for Biotechnology Information, </w:t>
            </w:r>
            <w:r>
              <w:rPr>
                <w:rFonts w:ascii="Arial" w:hAnsi="Arial" w:cs="Arial"/>
                <w:sz w:val="22"/>
                <w:szCs w:val="22"/>
              </w:rPr>
              <w:t>MD, USA [IT]</w:t>
            </w:r>
          </w:p>
          <w:p w14:paraId="565E7698" w14:textId="77777777" w:rsidR="00D33A63" w:rsidRDefault="00D33A63" w:rsidP="00D33A63">
            <w:pPr>
              <w:rPr>
                <w:rFonts w:ascii="Arial" w:hAnsi="Arial" w:cs="Arial"/>
                <w:sz w:val="22"/>
                <w:szCs w:val="22"/>
              </w:rPr>
            </w:pPr>
            <w:r>
              <w:rPr>
                <w:rFonts w:ascii="Arial" w:hAnsi="Arial" w:cs="Arial"/>
                <w:sz w:val="22"/>
                <w:szCs w:val="22"/>
              </w:rPr>
              <w:t>University of Guelph, Ontario, Canada [AMK]</w:t>
            </w:r>
          </w:p>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6DDA7A80" w:rsidR="00437970" w:rsidRDefault="00D33A63" w:rsidP="00D33A63">
            <w:pPr>
              <w:rPr>
                <w:rFonts w:ascii="Arial" w:hAnsi="Arial" w:cs="Arial"/>
                <w:sz w:val="22"/>
                <w:szCs w:val="22"/>
              </w:rPr>
            </w:pPr>
            <w:r>
              <w:rPr>
                <w:rFonts w:ascii="Arial" w:hAnsi="Arial" w:cs="Arial"/>
                <w:sz w:val="22"/>
                <w:szCs w:val="22"/>
              </w:rPr>
              <w:t>Andrew M. Kropinski</w:t>
            </w:r>
          </w:p>
        </w:tc>
      </w:tr>
    </w:tbl>
    <w:p w14:paraId="3A50F9C2" w14:textId="01A997D9" w:rsidR="00437970" w:rsidRPr="002D5209" w:rsidRDefault="008815EE" w:rsidP="002D5209">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77777777" w:rsidR="00A174CC" w:rsidRDefault="00A174CC">
            <w:pPr>
              <w:rPr>
                <w:rFonts w:ascii="Arial" w:hAnsi="Arial" w:cs="Arial"/>
                <w:sz w:val="22"/>
                <w:szCs w:val="22"/>
              </w:rPr>
            </w:pPr>
          </w:p>
          <w:p w14:paraId="0950CB07" w14:textId="77777777" w:rsidR="00D33A63" w:rsidRDefault="00D33A63" w:rsidP="00D33A63">
            <w:pPr>
              <w:rPr>
                <w:rFonts w:ascii="Arial" w:hAnsi="Arial" w:cs="Arial"/>
                <w:sz w:val="22"/>
                <w:szCs w:val="22"/>
              </w:rPr>
            </w:pPr>
            <w:r w:rsidRPr="009A5462">
              <w:rPr>
                <w:rFonts w:ascii="Arial" w:hAnsi="Arial" w:cs="Arial"/>
                <w:sz w:val="22"/>
                <w:szCs w:val="22"/>
              </w:rPr>
              <w:t>Caudoviricetes Study Group</w:t>
            </w:r>
          </w:p>
          <w:p w14:paraId="208F33A9" w14:textId="77777777" w:rsidR="00A174CC" w:rsidRDefault="00A174CC">
            <w:pPr>
              <w:rPr>
                <w:rFonts w:ascii="Arial" w:hAnsi="Arial" w:cs="Arial"/>
                <w:sz w:val="22"/>
                <w:szCs w:val="22"/>
              </w:rPr>
            </w:pPr>
          </w:p>
        </w:tc>
      </w:tr>
    </w:tbl>
    <w:p w14:paraId="0D538D50" w14:textId="41C56134" w:rsidR="00A174CC" w:rsidRPr="002D5209" w:rsidRDefault="008815EE" w:rsidP="002D5209">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73D29CFC" w14:textId="77777777" w:rsidR="00A174CC" w:rsidRDefault="00A174CC">
            <w:pPr>
              <w:rPr>
                <w:rFonts w:ascii="Arial" w:hAnsi="Arial" w:cs="Arial"/>
                <w:sz w:val="22"/>
                <w:szCs w:val="22"/>
              </w:rPr>
            </w:pPr>
          </w:p>
          <w:p w14:paraId="71DD72AB"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3D7F95A4" w14:textId="77777777" w:rsidR="002D5209" w:rsidRDefault="002D5209">
      <w:pPr>
        <w:spacing w:before="120" w:after="120"/>
        <w:rPr>
          <w:rFonts w:ascii="Arial" w:hAnsi="Arial" w:cs="Arial"/>
          <w:b/>
        </w:rPr>
      </w:pPr>
    </w:p>
    <w:p w14:paraId="320F9A0C" w14:textId="4C2EE121" w:rsidR="00A174CC" w:rsidRDefault="008815EE">
      <w:pPr>
        <w:spacing w:before="120" w:after="120"/>
        <w:rPr>
          <w:rFonts w:ascii="Arial" w:hAnsi="Arial" w:cs="Arial"/>
          <w:b/>
        </w:rPr>
      </w:pPr>
      <w:r>
        <w:rPr>
          <w:rFonts w:ascii="Arial" w:hAnsi="Arial" w:cs="Arial"/>
          <w:b/>
        </w:rPr>
        <w:lastRenderedPageBreak/>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629C8892" w:rsidR="00A174CC" w:rsidRPr="000A146A" w:rsidRDefault="002D5209">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54C563A2" w:rsidR="00A174CC" w:rsidRDefault="00255BAE">
            <w:pPr>
              <w:rPr>
                <w:rFonts w:ascii="Arial" w:hAnsi="Arial" w:cs="Arial"/>
                <w:sz w:val="22"/>
                <w:szCs w:val="22"/>
              </w:rPr>
            </w:pPr>
            <w:r>
              <w:rPr>
                <w:rFonts w:ascii="Arial" w:hAnsi="Arial" w:cs="Arial"/>
                <w:sz w:val="22"/>
                <w:szCs w:val="22"/>
              </w:rPr>
              <w:t>May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rsidRPr="005231CF" w14:paraId="23CC3CF3" w14:textId="77777777">
        <w:tc>
          <w:tcPr>
            <w:tcW w:w="9072" w:type="dxa"/>
            <w:shd w:val="clear" w:color="auto" w:fill="auto"/>
          </w:tcPr>
          <w:p w14:paraId="5E05E919" w14:textId="28366710" w:rsidR="00A174CC" w:rsidRPr="005231CF" w:rsidRDefault="005231CF">
            <w:pPr>
              <w:spacing w:before="120" w:after="120"/>
              <w:rPr>
                <w:rFonts w:ascii="Arial" w:hAnsi="Arial" w:cs="Arial"/>
                <w:bCs/>
                <w:sz w:val="22"/>
                <w:szCs w:val="22"/>
              </w:rPr>
            </w:pPr>
            <w:r w:rsidRPr="005231CF">
              <w:rPr>
                <w:rFonts w:ascii="Arial" w:hAnsi="Arial" w:cs="Arial"/>
                <w:bCs/>
              </w:rPr>
              <w:t>2023.008B.N.v1.Athenavirus</w:t>
            </w:r>
            <w:r>
              <w:rPr>
                <w:rFonts w:ascii="Arial" w:hAnsi="Arial" w:cs="Arial"/>
                <w:bCs/>
              </w:rPr>
              <w:t>_</w:t>
            </w:r>
            <w:r w:rsidRPr="005231CF">
              <w:rPr>
                <w:rFonts w:ascii="Arial" w:hAnsi="Arial" w:cs="Arial"/>
                <w:bCs/>
              </w:rPr>
              <w:t>Theosmithvirus_2ng</w:t>
            </w:r>
            <w:r w:rsidRPr="005231CF">
              <w:rPr>
                <w:rFonts w:ascii="Arial" w:hAnsi="Arial" w:cs="Arial"/>
                <w:bCs/>
              </w:rPr>
              <w:t>.xlsx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p w14:paraId="70690697" w14:textId="36A25C95" w:rsidR="00A174CC" w:rsidRDefault="00A174CC">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082EBE94" w14:textId="77777777" w:rsidR="00A174CC" w:rsidRDefault="00A174CC">
            <w:pPr>
              <w:rPr>
                <w:rFonts w:ascii="Arial" w:hAnsi="Arial" w:cs="Arial"/>
                <w:bCs/>
                <w:sz w:val="22"/>
                <w:szCs w:val="22"/>
              </w:rPr>
            </w:pPr>
          </w:p>
          <w:p w14:paraId="464D9DF8" w14:textId="0467C8C7" w:rsidR="00A174CC" w:rsidRDefault="00D33A63">
            <w:pPr>
              <w:rPr>
                <w:rFonts w:ascii="Arial" w:hAnsi="Arial" w:cs="Arial"/>
                <w:b/>
                <w:sz w:val="22"/>
                <w:szCs w:val="22"/>
              </w:rPr>
            </w:pPr>
            <w:r>
              <w:rPr>
                <w:rFonts w:ascii="Arial" w:hAnsi="Arial" w:cs="Arial"/>
                <w:bCs/>
                <w:sz w:val="22"/>
                <w:szCs w:val="22"/>
              </w:rPr>
              <w:t xml:space="preserve">We have created two new genera for novel Bacillus siphoviruses – </w:t>
            </w:r>
            <w:r w:rsidRPr="00211FAD">
              <w:rPr>
                <w:rFonts w:ascii="Arial" w:hAnsi="Arial" w:cs="Arial"/>
                <w:bCs/>
                <w:i/>
                <w:iCs/>
                <w:sz w:val="22"/>
                <w:szCs w:val="22"/>
              </w:rPr>
              <w:t>Athenavirus</w:t>
            </w:r>
            <w:r>
              <w:rPr>
                <w:rFonts w:ascii="Arial" w:hAnsi="Arial" w:cs="Arial"/>
                <w:bCs/>
                <w:sz w:val="22"/>
                <w:szCs w:val="22"/>
              </w:rPr>
              <w:t xml:space="preserve"> and </w:t>
            </w:r>
            <w:r w:rsidRPr="00211FAD">
              <w:rPr>
                <w:rFonts w:ascii="Arial" w:hAnsi="Arial" w:cs="Arial"/>
                <w:bCs/>
                <w:i/>
                <w:iCs/>
                <w:sz w:val="22"/>
                <w:szCs w:val="22"/>
              </w:rPr>
              <w:t>Theosmithvirus</w:t>
            </w:r>
          </w:p>
          <w:p w14:paraId="2AB201D8" w14:textId="77777777" w:rsidR="00A174CC" w:rsidRDefault="00A174CC">
            <w:pPr>
              <w:rPr>
                <w:rFonts w:ascii="Arial" w:hAnsi="Arial" w:cs="Arial"/>
                <w:b/>
                <w:sz w:val="22"/>
                <w:szCs w:val="22"/>
              </w:rPr>
            </w:pP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0DC6843E" w:rsidR="00A174CC" w:rsidRDefault="00A174CC">
            <w:pPr>
              <w:pStyle w:val="BodyTextIndent"/>
              <w:spacing w:after="12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49737C03" w14:textId="77777777" w:rsidR="00A174CC" w:rsidRDefault="00A174CC">
                  <w:pPr>
                    <w:rPr>
                      <w:rFonts w:ascii="Arial" w:hAnsi="Arial" w:cs="Arial"/>
                      <w:color w:val="0000FF"/>
                      <w:sz w:val="22"/>
                      <w:szCs w:val="22"/>
                    </w:rPr>
                  </w:pPr>
                </w:p>
                <w:p w14:paraId="390BAF69" w14:textId="77777777" w:rsidR="00D33A63" w:rsidRDefault="00D33A63" w:rsidP="00D33A63">
                  <w:pPr>
                    <w:rPr>
                      <w:rFonts w:ascii="Arial" w:hAnsi="Arial" w:cs="Arial"/>
                      <w:sz w:val="22"/>
                      <w:szCs w:val="22"/>
                      <w:lang w:val="en-GB"/>
                    </w:rPr>
                  </w:pPr>
                  <w:r>
                    <w:rPr>
                      <w:rFonts w:ascii="Arial" w:hAnsi="Arial" w:cs="Arial"/>
                      <w:b/>
                      <w:color w:val="0000FF"/>
                      <w:sz w:val="22"/>
                      <w:szCs w:val="22"/>
                    </w:rPr>
                    <w:t>Species demarcation criteria:</w:t>
                  </w:r>
                  <w:r>
                    <w:rPr>
                      <w:sz w:val="22"/>
                      <w:szCs w:val="22"/>
                      <w:lang w:val="en-GB"/>
                    </w:rPr>
                    <w:t xml:space="preserve"> </w:t>
                  </w:r>
                  <w:r>
                    <w:rPr>
                      <w:rFonts w:ascii="Arial" w:hAnsi="Arial" w:cs="Arial"/>
                      <w:sz w:val="22"/>
                      <w:szCs w:val="22"/>
                      <w:lang w:val="en-GB"/>
                    </w:rPr>
                    <w:t xml:space="preserve">Two phages are assigned to the same species if their genomes are more than 95% identical over their genome length for isolates. </w:t>
                  </w:r>
                </w:p>
                <w:p w14:paraId="10552743" w14:textId="77777777" w:rsidR="00D33A63" w:rsidRDefault="00D33A63" w:rsidP="00D33A63">
                  <w:pPr>
                    <w:rPr>
                      <w:rFonts w:ascii="Arial" w:hAnsi="Arial" w:cs="Arial"/>
                      <w:sz w:val="22"/>
                      <w:szCs w:val="22"/>
                      <w:lang w:val="en-GB"/>
                    </w:rPr>
                  </w:pPr>
                  <w:r>
                    <w:rPr>
                      <w:rFonts w:ascii="Arial" w:hAnsi="Arial" w:cs="Arial"/>
                      <w:sz w:val="22"/>
                      <w:szCs w:val="22"/>
                      <w:lang w:val="en-GB"/>
                    </w:rPr>
                    <w:t>These values can be calculated by a number of tools, such as BLASTn [1,2] – usually calculated using intergenomic distance calculator VIRIDIC [3].</w:t>
                  </w:r>
                </w:p>
                <w:p w14:paraId="2DD00032" w14:textId="77777777" w:rsidR="00D33A63" w:rsidRDefault="00D33A63" w:rsidP="00D33A63">
                  <w:pPr>
                    <w:rPr>
                      <w:rFonts w:ascii="Arial" w:hAnsi="Arial" w:cs="Arial"/>
                      <w:color w:val="0000FF"/>
                      <w:sz w:val="22"/>
                      <w:szCs w:val="22"/>
                    </w:rPr>
                  </w:pPr>
                </w:p>
                <w:p w14:paraId="1FA44340" w14:textId="77777777" w:rsidR="00D33A63" w:rsidRDefault="00D33A63" w:rsidP="00D33A63">
                  <w:pPr>
                    <w:rPr>
                      <w:rFonts w:ascii="Arial" w:hAnsi="Arial" w:cs="Arial"/>
                      <w:sz w:val="22"/>
                      <w:szCs w:val="22"/>
                      <w:lang w:val="en-GB"/>
                    </w:rPr>
                  </w:pPr>
                  <w:r>
                    <w:rPr>
                      <w:rFonts w:ascii="Arial" w:hAnsi="Arial" w:cs="Arial"/>
                      <w:b/>
                      <w:bCs/>
                      <w:color w:val="0000FF"/>
                      <w:sz w:val="22"/>
                      <w:szCs w:val="22"/>
                    </w:rPr>
                    <w:t xml:space="preserve">Genus demarcation criteria: </w:t>
                  </w:r>
                  <w:r>
                    <w:rPr>
                      <w:rFonts w:ascii="Arial" w:hAnsi="Arial" w:cs="Arial"/>
                      <w:sz w:val="22"/>
                      <w:szCs w:val="22"/>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65917C70" w14:textId="77777777" w:rsidR="00A174CC" w:rsidRDefault="00A174CC">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6B5315D2" w14:textId="77777777"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77C15711" w14:textId="77777777" w:rsidR="00D33A63" w:rsidRDefault="00D33A63" w:rsidP="00D33A63">
      <w:pPr>
        <w:pStyle w:val="BodyTextIndent"/>
        <w:spacing w:before="120" w:after="120"/>
        <w:ind w:left="0" w:firstLine="0"/>
        <w:rPr>
          <w:rFonts w:ascii="Arial" w:hAnsi="Arial" w:cs="Arial"/>
          <w:b/>
          <w:color w:val="0000FF"/>
          <w:sz w:val="22"/>
          <w:szCs w:val="22"/>
        </w:rPr>
      </w:pPr>
      <w:r w:rsidRPr="007C64AB">
        <w:rPr>
          <w:rFonts w:ascii="Arial" w:hAnsi="Arial" w:cs="Arial"/>
          <w:b/>
          <w:color w:val="0000FF"/>
          <w:szCs w:val="24"/>
        </w:rPr>
        <w:t>Proposals</w:t>
      </w:r>
      <w:r>
        <w:rPr>
          <w:rFonts w:ascii="Arial" w:hAnsi="Arial" w:cs="Arial"/>
          <w:b/>
          <w:color w:val="0000FF"/>
          <w:szCs w:val="24"/>
        </w:rPr>
        <w:t xml:space="preserve"> </w:t>
      </w:r>
      <w:r w:rsidRPr="005D5009">
        <w:rPr>
          <w:rFonts w:ascii="Arial" w:hAnsi="Arial" w:cs="Arial"/>
          <w:b/>
          <w:color w:val="0000FF"/>
          <w:sz w:val="22"/>
          <w:szCs w:val="22"/>
        </w:rPr>
        <w:t>Data:</w:t>
      </w:r>
    </w:p>
    <w:p w14:paraId="4F3627AD" w14:textId="77777777" w:rsidR="00D33A63" w:rsidRDefault="00D33A63" w:rsidP="00D33A63">
      <w:pPr>
        <w:pStyle w:val="BodyTextIndent"/>
        <w:numPr>
          <w:ilvl w:val="0"/>
          <w:numId w:val="3"/>
        </w:numPr>
        <w:spacing w:before="120" w:after="120"/>
        <w:rPr>
          <w:rFonts w:ascii="Arial" w:hAnsi="Arial" w:cs="Arial"/>
          <w:b/>
          <w:color w:val="0000FF"/>
          <w:szCs w:val="24"/>
        </w:rPr>
      </w:pPr>
      <w:bookmarkStart w:id="0" w:name="_Hlk131329229"/>
      <w:bookmarkStart w:id="1" w:name="_Hlk131419564"/>
      <w:bookmarkStart w:id="2" w:name="_Hlk131329568"/>
      <w:r>
        <w:rPr>
          <w:rFonts w:ascii="Arial" w:hAnsi="Arial" w:cs="Arial"/>
          <w:b/>
          <w:color w:val="0000FF"/>
          <w:szCs w:val="24"/>
        </w:rPr>
        <w:t xml:space="preserve">To </w:t>
      </w:r>
      <w:bookmarkEnd w:id="0"/>
      <w:r>
        <w:rPr>
          <w:rFonts w:ascii="Arial" w:hAnsi="Arial" w:cs="Arial"/>
          <w:b/>
          <w:color w:val="0000FF"/>
          <w:szCs w:val="24"/>
        </w:rPr>
        <w:t xml:space="preserve">create a single species genus, </w:t>
      </w:r>
      <w:r w:rsidRPr="00864E72">
        <w:rPr>
          <w:rFonts w:ascii="Arial" w:hAnsi="Arial" w:cs="Arial"/>
          <w:b/>
          <w:i/>
          <w:iCs/>
          <w:color w:val="0000FF"/>
          <w:szCs w:val="24"/>
        </w:rPr>
        <w:t>Athenavirus</w:t>
      </w:r>
    </w:p>
    <w:p w14:paraId="6B9D0577" w14:textId="75845DE5" w:rsidR="00D33A63" w:rsidRDefault="00D33A63" w:rsidP="00D33A63">
      <w:pPr>
        <w:pStyle w:val="BodyTextIndent"/>
        <w:numPr>
          <w:ilvl w:val="0"/>
          <w:numId w:val="3"/>
        </w:numPr>
        <w:spacing w:before="120" w:after="120"/>
        <w:rPr>
          <w:rFonts w:ascii="Arial" w:hAnsi="Arial" w:cs="Arial"/>
          <w:b/>
          <w:color w:val="0000FF"/>
          <w:szCs w:val="24"/>
        </w:rPr>
      </w:pPr>
      <w:bookmarkStart w:id="3" w:name="_Hlk131420113"/>
      <w:bookmarkEnd w:id="1"/>
      <w:r>
        <w:rPr>
          <w:rFonts w:ascii="Arial" w:hAnsi="Arial" w:cs="Arial"/>
          <w:b/>
          <w:color w:val="0000FF"/>
          <w:szCs w:val="24"/>
        </w:rPr>
        <w:t xml:space="preserve">To create a single species genus, </w:t>
      </w:r>
      <w:r>
        <w:rPr>
          <w:rFonts w:ascii="Arial" w:hAnsi="Arial" w:cs="Arial"/>
          <w:b/>
          <w:i/>
          <w:iCs/>
          <w:color w:val="0000FF"/>
          <w:szCs w:val="24"/>
        </w:rPr>
        <w:t>Theosmith</w:t>
      </w:r>
      <w:r w:rsidRPr="00864E72">
        <w:rPr>
          <w:rFonts w:ascii="Arial" w:hAnsi="Arial" w:cs="Arial"/>
          <w:b/>
          <w:i/>
          <w:iCs/>
          <w:color w:val="0000FF"/>
          <w:szCs w:val="24"/>
        </w:rPr>
        <w:t>virus</w:t>
      </w:r>
    </w:p>
    <w:bookmarkEnd w:id="2"/>
    <w:bookmarkEnd w:id="3"/>
    <w:p w14:paraId="01E79C79" w14:textId="77777777" w:rsidR="00D33A63" w:rsidRPr="000817F4" w:rsidRDefault="00D33A63" w:rsidP="00D33A63">
      <w:pPr>
        <w:pStyle w:val="BodyTextIndent"/>
        <w:spacing w:before="120" w:after="120"/>
        <w:ind w:left="0" w:firstLine="0"/>
        <w:rPr>
          <w:rFonts w:ascii="Arial" w:hAnsi="Arial" w:cs="Arial"/>
          <w:b/>
          <w:color w:val="0000FF"/>
          <w:szCs w:val="24"/>
        </w:rPr>
      </w:pPr>
    </w:p>
    <w:p w14:paraId="2D6A7359" w14:textId="77777777" w:rsidR="00D33A63" w:rsidRDefault="00D33A63" w:rsidP="00D33A63">
      <w:pPr>
        <w:rPr>
          <w:rFonts w:ascii="Arial" w:hAnsi="Arial" w:cs="Arial"/>
          <w:b/>
          <w:noProof/>
          <w:sz w:val="22"/>
          <w:szCs w:val="22"/>
        </w:rPr>
      </w:pPr>
      <w:r>
        <w:rPr>
          <w:rFonts w:ascii="Arial" w:hAnsi="Arial" w:cs="Arial"/>
          <w:b/>
          <w:noProof/>
          <w:sz w:val="22"/>
          <w:szCs w:val="22"/>
        </w:rPr>
        <w:lastRenderedPageBreak/>
        <w:drawing>
          <wp:inline distT="0" distB="0" distL="0" distR="0" wp14:anchorId="59677E45" wp14:editId="7263F0E9">
            <wp:extent cx="5302250" cy="3625850"/>
            <wp:effectExtent l="0" t="0" r="0" b="0"/>
            <wp:docPr id="3" name="Picture 3" descr="A picture containing text, screenshot, number, fo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screenshot, number, font&#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302250" cy="3625850"/>
                    </a:xfrm>
                    <a:prstGeom prst="rect">
                      <a:avLst/>
                    </a:prstGeom>
                  </pic:spPr>
                </pic:pic>
              </a:graphicData>
            </a:graphic>
          </wp:inline>
        </w:drawing>
      </w:r>
    </w:p>
    <w:p w14:paraId="67D7E94F" w14:textId="77777777" w:rsidR="00D33A63" w:rsidRDefault="00D33A63" w:rsidP="00D33A63">
      <w:pPr>
        <w:rPr>
          <w:rFonts w:ascii="Arial" w:hAnsi="Arial" w:cs="Arial"/>
          <w:b/>
          <w:sz w:val="22"/>
          <w:szCs w:val="22"/>
        </w:rPr>
      </w:pPr>
    </w:p>
    <w:p w14:paraId="611E7395" w14:textId="77777777" w:rsidR="00D33A63" w:rsidRDefault="00D33A63" w:rsidP="00D33A63">
      <w:pPr>
        <w:rPr>
          <w:rFonts w:ascii="Arial" w:hAnsi="Arial" w:cs="Arial"/>
          <w:b/>
          <w:bCs/>
          <w:color w:val="0000FF"/>
          <w:sz w:val="22"/>
          <w:szCs w:val="22"/>
          <w:lang w:val="en-GB"/>
        </w:rPr>
      </w:pPr>
    </w:p>
    <w:p w14:paraId="68450CF1" w14:textId="77777777" w:rsidR="00D33A63" w:rsidRDefault="00D33A63" w:rsidP="00D33A63">
      <w:pPr>
        <w:rPr>
          <w:rFonts w:ascii="Arial" w:hAnsi="Arial" w:cs="Arial"/>
          <w:b/>
          <w:bCs/>
          <w:color w:val="0000FF"/>
          <w:sz w:val="22"/>
          <w:szCs w:val="22"/>
          <w:lang w:val="en-GB"/>
        </w:rPr>
      </w:pPr>
      <w:r>
        <w:rPr>
          <w:rFonts w:ascii="Arial" w:hAnsi="Arial" w:cs="Arial"/>
          <w:b/>
          <w:bCs/>
          <w:color w:val="0000FF"/>
          <w:sz w:val="22"/>
          <w:szCs w:val="22"/>
          <w:lang w:val="en-GB"/>
        </w:rPr>
        <w:t xml:space="preserve">Figure 1. VIRIDIC heat map:  </w:t>
      </w:r>
      <w:r>
        <w:rPr>
          <w:rFonts w:ascii="Arial" w:hAnsi="Arial" w:cs="Arial"/>
          <w:sz w:val="22"/>
          <w:szCs w:val="22"/>
          <w:lang w:val="en-GB"/>
        </w:rPr>
        <w:t>VIRIDIC (Virus Intergenomic Distance Calculator; VIRIDIC (Virus Intergenomic Distance Calculator; [3]; http://rhea.icbm.uni-oldenburg.de/VIRIDIC/) computes pairwise intergenomic distances/similarities amongst phage genomes. Data values which are bordered in black correspond to strains. Abbreviations: phg = phage; Baci = Bacillus; Sten = Stenotrophomonas</w:t>
      </w:r>
    </w:p>
    <w:p w14:paraId="3C0E7662" w14:textId="77777777" w:rsidR="00D33A63" w:rsidRDefault="00D33A63" w:rsidP="00D33A63">
      <w:pPr>
        <w:rPr>
          <w:rFonts w:ascii="Arial" w:hAnsi="Arial" w:cs="Arial"/>
          <w:b/>
          <w:sz w:val="22"/>
          <w:szCs w:val="22"/>
        </w:rPr>
      </w:pPr>
    </w:p>
    <w:p w14:paraId="11E0589C" w14:textId="77777777" w:rsidR="00D33A63" w:rsidRDefault="00D33A63" w:rsidP="00D33A63">
      <w:pPr>
        <w:rPr>
          <w:rFonts w:ascii="Arial" w:hAnsi="Arial" w:cs="Arial"/>
          <w:b/>
          <w:sz w:val="22"/>
          <w:szCs w:val="22"/>
        </w:rPr>
      </w:pPr>
      <w:r>
        <w:rPr>
          <w:rFonts w:ascii="Arial" w:hAnsi="Arial" w:cs="Arial"/>
          <w:b/>
          <w:noProof/>
          <w:sz w:val="22"/>
          <w:szCs w:val="22"/>
        </w:rPr>
        <w:drawing>
          <wp:inline distT="0" distB="0" distL="0" distR="0" wp14:anchorId="7F1DFE4C" wp14:editId="3CB199ED">
            <wp:extent cx="5731510" cy="1217295"/>
            <wp:effectExtent l="0" t="0" r="2540" b="1905"/>
            <wp:docPr id="12" name="Picture 12" descr="A picture containing text, screenshot, font,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ext, screenshot, font, line&#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731510" cy="1217295"/>
                    </a:xfrm>
                    <a:prstGeom prst="rect">
                      <a:avLst/>
                    </a:prstGeom>
                  </pic:spPr>
                </pic:pic>
              </a:graphicData>
            </a:graphic>
          </wp:inline>
        </w:drawing>
      </w:r>
    </w:p>
    <w:p w14:paraId="66B40554" w14:textId="77777777" w:rsidR="00D33A63" w:rsidRDefault="00D33A63" w:rsidP="00D33A63">
      <w:pPr>
        <w:rPr>
          <w:rFonts w:ascii="Arial" w:hAnsi="Arial" w:cs="Arial"/>
          <w:b/>
          <w:sz w:val="22"/>
          <w:szCs w:val="22"/>
        </w:rPr>
      </w:pPr>
      <w:r>
        <w:rPr>
          <w:rFonts w:ascii="Arial" w:hAnsi="Arial" w:cs="Arial"/>
          <w:b/>
          <w:noProof/>
          <w:sz w:val="22"/>
          <w:szCs w:val="22"/>
        </w:rPr>
        <mc:AlternateContent>
          <mc:Choice Requires="wps">
            <w:drawing>
              <wp:anchor distT="0" distB="0" distL="114300" distR="114300" simplePos="0" relativeHeight="251662336" behindDoc="0" locked="0" layoutInCell="1" allowOverlap="1" wp14:anchorId="046AFDBB" wp14:editId="1794A03D">
                <wp:simplePos x="0" y="0"/>
                <wp:positionH relativeFrom="column">
                  <wp:posOffset>4984750</wp:posOffset>
                </wp:positionH>
                <wp:positionV relativeFrom="paragraph">
                  <wp:posOffset>427990</wp:posOffset>
                </wp:positionV>
                <wp:extent cx="266700" cy="425450"/>
                <wp:effectExtent l="34925" t="22225" r="15875" b="34925"/>
                <wp:wrapNone/>
                <wp:docPr id="15" name="Isosceles Triangle 15"/>
                <wp:cNvGraphicFramePr/>
                <a:graphic xmlns:a="http://schemas.openxmlformats.org/drawingml/2006/main">
                  <a:graphicData uri="http://schemas.microsoft.com/office/word/2010/wordprocessingShape">
                    <wps:wsp>
                      <wps:cNvSpPr/>
                      <wps:spPr>
                        <a:xfrm rot="16200000">
                          <a:off x="0" y="0"/>
                          <a:ext cx="266700" cy="425450"/>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type w14:anchorId="1620A921"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5" o:spid="_x0000_s1026" type="#_x0000_t5" style="position:absolute;margin-left:392.5pt;margin-top:33.7pt;width:21pt;height:33.5pt;rotation:-90;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" fillcolor="red" strokecolor="red" strokeweight="1pt"/>
            </w:pict>
          </mc:Fallback>
        </mc:AlternateContent>
      </w:r>
      <w:r>
        <w:rPr>
          <w:rFonts w:ascii="Arial" w:hAnsi="Arial" w:cs="Arial"/>
          <w:b/>
          <w:noProof/>
          <w:sz w:val="22"/>
          <w:szCs w:val="22"/>
        </w:rPr>
        <mc:AlternateContent>
          <mc:Choice Requires="wps">
            <w:drawing>
              <wp:anchor distT="0" distB="0" distL="114300" distR="114300" simplePos="0" relativeHeight="251661312" behindDoc="0" locked="0" layoutInCell="1" allowOverlap="1" wp14:anchorId="3BD40B91" wp14:editId="50CC977C">
                <wp:simplePos x="0" y="0"/>
                <wp:positionH relativeFrom="column">
                  <wp:posOffset>4984750</wp:posOffset>
                </wp:positionH>
                <wp:positionV relativeFrom="paragraph">
                  <wp:posOffset>21590</wp:posOffset>
                </wp:positionV>
                <wp:extent cx="266700" cy="425450"/>
                <wp:effectExtent l="34925" t="22225" r="15875" b="34925"/>
                <wp:wrapNone/>
                <wp:docPr id="14" name="Isosceles Triangle 14"/>
                <wp:cNvGraphicFramePr/>
                <a:graphic xmlns:a="http://schemas.openxmlformats.org/drawingml/2006/main">
                  <a:graphicData uri="http://schemas.microsoft.com/office/word/2010/wordprocessingShape">
                    <wps:wsp>
                      <wps:cNvSpPr/>
                      <wps:spPr>
                        <a:xfrm rot="16200000">
                          <a:off x="0" y="0"/>
                          <a:ext cx="266700" cy="425450"/>
                        </a:xfrm>
                        <a:prstGeom prst="triangle">
                          <a:avLst/>
                        </a:prstGeom>
                        <a:solidFill>
                          <a:srgbClr val="7030A0"/>
                        </a:solidFill>
                        <a:ln w="12700"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 w14:anchorId="32430491" id="Isosceles Triangle 14" o:spid="_x0000_s1026" type="#_x0000_t5" style="position:absolute;margin-left:392.5pt;margin-top:1.7pt;width:21pt;height:33.5pt;rotation:-90;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" fillcolor="#7030a0" strokecolor="#7030a0" strokeweight="1pt"/>
            </w:pict>
          </mc:Fallback>
        </mc:AlternateContent>
      </w:r>
      <w:r>
        <w:rPr>
          <w:rFonts w:ascii="Arial" w:hAnsi="Arial" w:cs="Arial"/>
          <w:b/>
          <w:noProof/>
          <w:sz w:val="22"/>
          <w:szCs w:val="22"/>
        </w:rPr>
        <w:drawing>
          <wp:inline distT="0" distB="0" distL="0" distR="0" wp14:anchorId="53DC59C5" wp14:editId="476CBFB8">
            <wp:extent cx="5731510" cy="1460500"/>
            <wp:effectExtent l="0" t="0" r="2540" b="6350"/>
            <wp:docPr id="13" name="Picture 13"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screenshot of a computer&#10;&#10;Description automatically generated with low confidence"/>
                    <pic:cNvPicPr/>
                  </pic:nvPicPr>
                  <pic:blipFill>
                    <a:blip r:embed="rId10">
                      <a:extLst>
                        <a:ext uri="{28A0092B-C50C-407E-A947-70E740481C1C}">
                          <a14:useLocalDpi xmlns:a14="http://schemas.microsoft.com/office/drawing/2010/main" val="0"/>
                        </a:ext>
                      </a:extLst>
                    </a:blip>
                    <a:stretch>
                      <a:fillRect/>
                    </a:stretch>
                  </pic:blipFill>
                  <pic:spPr>
                    <a:xfrm>
                      <a:off x="0" y="0"/>
                      <a:ext cx="5731510" cy="1460500"/>
                    </a:xfrm>
                    <a:prstGeom prst="rect">
                      <a:avLst/>
                    </a:prstGeom>
                  </pic:spPr>
                </pic:pic>
              </a:graphicData>
            </a:graphic>
          </wp:inline>
        </w:drawing>
      </w:r>
    </w:p>
    <w:p w14:paraId="233D4B3F" w14:textId="77777777" w:rsidR="00D33A63" w:rsidRDefault="00D33A63" w:rsidP="00D33A63">
      <w:pPr>
        <w:rPr>
          <w:rFonts w:ascii="Arial" w:hAnsi="Arial" w:cs="Arial"/>
          <w:b/>
          <w:color w:val="120AB6"/>
          <w:sz w:val="22"/>
          <w:szCs w:val="22"/>
        </w:rPr>
      </w:pPr>
    </w:p>
    <w:p w14:paraId="017C80AA" w14:textId="77777777" w:rsidR="00D33A63" w:rsidRDefault="00D33A63" w:rsidP="00D33A63">
      <w:pPr>
        <w:rPr>
          <w:rFonts w:ascii="Arial" w:hAnsi="Arial" w:cs="Arial"/>
          <w:sz w:val="22"/>
          <w:szCs w:val="22"/>
          <w:lang w:val="en-GB"/>
        </w:rPr>
      </w:pPr>
      <w:r>
        <w:rPr>
          <w:rFonts w:ascii="Arial" w:hAnsi="Arial" w:cs="Arial"/>
          <w:b/>
          <w:color w:val="120AB6"/>
          <w:sz w:val="22"/>
          <w:szCs w:val="22"/>
        </w:rPr>
        <w:t xml:space="preserve">Figure 2. ViPTree analysis:  </w:t>
      </w:r>
      <w:r>
        <w:rPr>
          <w:rFonts w:ascii="Arial" w:hAnsi="Arial" w:cs="Arial"/>
          <w:bCs/>
          <w:sz w:val="22"/>
          <w:szCs w:val="22"/>
        </w:rPr>
        <w:t>ViPTree analysis</w:t>
      </w:r>
      <w:r>
        <w:rPr>
          <w:rFonts w:ascii="Arial" w:hAnsi="Arial" w:cs="Arial"/>
          <w:sz w:val="22"/>
          <w:szCs w:val="22"/>
          <w:lang w:val="en-GB"/>
        </w:rPr>
        <w:t xml:space="preserve"> (</w:t>
      </w:r>
      <w:hyperlink r:id="rId11" w:history="1">
        <w:r>
          <w:rPr>
            <w:rStyle w:val="Hyperlink"/>
            <w:rFonts w:ascii="Arial" w:eastAsia="Times" w:hAnsi="Arial" w:cs="Arial"/>
            <w:sz w:val="22"/>
            <w:szCs w:val="22"/>
            <w:lang w:val="en-GB"/>
          </w:rPr>
          <w:t>https://www.genome.jp/viptree/</w:t>
        </w:r>
      </w:hyperlink>
      <w:r>
        <w:rPr>
          <w:rFonts w:ascii="Arial" w:hAnsi="Arial" w:cs="Arial"/>
          <w:sz w:val="22"/>
          <w:szCs w:val="22"/>
          <w:lang w:val="en-GB"/>
        </w:rPr>
        <w:t xml:space="preserve">; [4]) is based upon Rohwer and Edwards (2002) famous Phage Proteomic Tree [5].  The phages of interest are </w:t>
      </w:r>
      <w:r>
        <w:rPr>
          <w:rFonts w:ascii="Arial" w:hAnsi="Arial" w:cs="Arial"/>
          <w:sz w:val="22"/>
          <w:szCs w:val="22"/>
        </w:rPr>
        <w:t xml:space="preserve">indicated with </w:t>
      </w:r>
      <w:r w:rsidRPr="00695B79">
        <w:rPr>
          <w:rFonts w:ascii="Arial" w:hAnsi="Arial" w:cs="Arial"/>
          <w:b/>
          <w:bCs/>
          <w:color w:val="FF0000"/>
          <w:sz w:val="22"/>
          <w:szCs w:val="22"/>
          <w:lang w:val="en-GB"/>
        </w:rPr>
        <w:t>red lines</w:t>
      </w:r>
      <w:r>
        <w:rPr>
          <w:rFonts w:ascii="Arial" w:hAnsi="Arial" w:cs="Arial"/>
          <w:b/>
          <w:bCs/>
          <w:color w:val="FF0000"/>
          <w:sz w:val="22"/>
          <w:szCs w:val="22"/>
          <w:lang w:val="en-GB"/>
        </w:rPr>
        <w:t xml:space="preserve"> and stars</w:t>
      </w:r>
      <w:r>
        <w:rPr>
          <w:rFonts w:ascii="Arial" w:hAnsi="Arial" w:cs="Arial"/>
          <w:sz w:val="22"/>
          <w:szCs w:val="22"/>
          <w:lang w:val="en-GB"/>
        </w:rPr>
        <w:t xml:space="preserve">.  </w:t>
      </w:r>
    </w:p>
    <w:p w14:paraId="2060A5E5" w14:textId="77777777" w:rsidR="00D33A63" w:rsidRDefault="00D33A63" w:rsidP="00D33A63">
      <w:pPr>
        <w:rPr>
          <w:rFonts w:ascii="Arial" w:hAnsi="Arial" w:cs="Arial"/>
          <w:sz w:val="22"/>
          <w:szCs w:val="22"/>
          <w:lang w:val="en-GB"/>
        </w:rPr>
      </w:pPr>
    </w:p>
    <w:p w14:paraId="36C8F525" w14:textId="77777777" w:rsidR="00D33A63" w:rsidRDefault="00D33A63" w:rsidP="00D33A63">
      <w:pPr>
        <w:rPr>
          <w:rFonts w:ascii="Arial" w:hAnsi="Arial" w:cs="Arial"/>
          <w:b/>
          <w:sz w:val="22"/>
          <w:szCs w:val="22"/>
        </w:rPr>
      </w:pPr>
      <w:r>
        <w:rPr>
          <w:rFonts w:ascii="Arial" w:hAnsi="Arial" w:cs="Arial"/>
          <w:b/>
          <w:noProof/>
          <w:sz w:val="22"/>
          <w:szCs w:val="22"/>
        </w:rPr>
        <w:lastRenderedPageBreak/>
        <mc:AlternateContent>
          <mc:Choice Requires="wps">
            <w:drawing>
              <wp:anchor distT="0" distB="0" distL="114300" distR="114300" simplePos="0" relativeHeight="251659264" behindDoc="0" locked="0" layoutInCell="1" allowOverlap="1" wp14:anchorId="3203D7ED" wp14:editId="587F7005">
                <wp:simplePos x="0" y="0"/>
                <wp:positionH relativeFrom="column">
                  <wp:posOffset>3848100</wp:posOffset>
                </wp:positionH>
                <wp:positionV relativeFrom="paragraph">
                  <wp:posOffset>-120650</wp:posOffset>
                </wp:positionV>
                <wp:extent cx="266700" cy="425450"/>
                <wp:effectExtent l="34925" t="22225" r="15875" b="34925"/>
                <wp:wrapNone/>
                <wp:docPr id="5" name="Isosceles Triangle 5"/>
                <wp:cNvGraphicFramePr/>
                <a:graphic xmlns:a="http://schemas.openxmlformats.org/drawingml/2006/main">
                  <a:graphicData uri="http://schemas.microsoft.com/office/word/2010/wordprocessingShape">
                    <wps:wsp>
                      <wps:cNvSpPr/>
                      <wps:spPr>
                        <a:xfrm rot="16200000">
                          <a:off x="0" y="0"/>
                          <a:ext cx="266700" cy="425450"/>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 w14:anchorId="0ADF88C5" id="Isosceles Triangle 5" o:spid="_x0000_s1026" type="#_x0000_t5" style="position:absolute;margin-left:303pt;margin-top:-9.5pt;width:21pt;height:33.5pt;rotation:-90;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" fillcolor="red" strokecolor="red" strokeweight="1pt"/>
            </w:pict>
          </mc:Fallback>
        </mc:AlternateContent>
      </w:r>
      <w:r>
        <w:rPr>
          <w:rFonts w:ascii="Arial" w:hAnsi="Arial" w:cs="Arial"/>
          <w:b/>
          <w:noProof/>
          <w:sz w:val="22"/>
          <w:szCs w:val="22"/>
        </w:rPr>
        <mc:AlternateContent>
          <mc:Choice Requires="wps">
            <w:drawing>
              <wp:anchor distT="0" distB="0" distL="114300" distR="114300" simplePos="0" relativeHeight="251660288" behindDoc="0" locked="0" layoutInCell="1" allowOverlap="1" wp14:anchorId="2BF95040" wp14:editId="16887853">
                <wp:simplePos x="0" y="0"/>
                <wp:positionH relativeFrom="column">
                  <wp:posOffset>4406900</wp:posOffset>
                </wp:positionH>
                <wp:positionV relativeFrom="paragraph">
                  <wp:posOffset>1019175</wp:posOffset>
                </wp:positionV>
                <wp:extent cx="266700" cy="425450"/>
                <wp:effectExtent l="34925" t="22225" r="15875" b="34925"/>
                <wp:wrapNone/>
                <wp:docPr id="11" name="Isosceles Triangle 11"/>
                <wp:cNvGraphicFramePr/>
                <a:graphic xmlns:a="http://schemas.openxmlformats.org/drawingml/2006/main">
                  <a:graphicData uri="http://schemas.microsoft.com/office/word/2010/wordprocessingShape">
                    <wps:wsp>
                      <wps:cNvSpPr/>
                      <wps:spPr>
                        <a:xfrm rot="16200000">
                          <a:off x="0" y="0"/>
                          <a:ext cx="266700" cy="425450"/>
                        </a:xfrm>
                        <a:prstGeom prst="triangle">
                          <a:avLst/>
                        </a:prstGeom>
                        <a:solidFill>
                          <a:srgbClr val="7030A0"/>
                        </a:solidFill>
                        <a:ln w="12700"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 w14:anchorId="01C223D2" id="Isosceles Triangle 11" o:spid="_x0000_s1026" type="#_x0000_t5" style="position:absolute;margin-left:347pt;margin-top:80.25pt;width:21pt;height:33.5pt;rotation:-90;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" fillcolor="#7030a0" strokecolor="#7030a0" strokeweight="1pt"/>
            </w:pict>
          </mc:Fallback>
        </mc:AlternateContent>
      </w:r>
      <w:r>
        <w:rPr>
          <w:rFonts w:ascii="Arial" w:hAnsi="Arial" w:cs="Arial"/>
          <w:b/>
          <w:noProof/>
          <w:sz w:val="22"/>
          <w:szCs w:val="22"/>
        </w:rPr>
        <w:drawing>
          <wp:inline distT="0" distB="0" distL="0" distR="0" wp14:anchorId="0C7CD029" wp14:editId="2B4A7DBA">
            <wp:extent cx="5731510" cy="3249930"/>
            <wp:effectExtent l="0" t="0" r="0" b="7620"/>
            <wp:docPr id="2" name="Picture 2" descr="A picture containing darkness, screenshot, bla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darkness, screenshot, black&#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731510" cy="3249930"/>
                    </a:xfrm>
                    <a:prstGeom prst="rect">
                      <a:avLst/>
                    </a:prstGeom>
                  </pic:spPr>
                </pic:pic>
              </a:graphicData>
            </a:graphic>
          </wp:inline>
        </w:drawing>
      </w:r>
    </w:p>
    <w:p w14:paraId="56715F33" w14:textId="77777777" w:rsidR="00D33A63" w:rsidRDefault="00D33A63" w:rsidP="00D33A63">
      <w:pPr>
        <w:rPr>
          <w:rFonts w:ascii="Arial" w:hAnsi="Arial" w:cs="Arial"/>
          <w:b/>
          <w:sz w:val="22"/>
          <w:szCs w:val="22"/>
        </w:rPr>
      </w:pPr>
    </w:p>
    <w:p w14:paraId="565E0616" w14:textId="77777777" w:rsidR="00D33A63" w:rsidRDefault="00D33A63" w:rsidP="00D33A63">
      <w:pPr>
        <w:rPr>
          <w:rFonts w:ascii="Arial" w:hAnsi="Arial" w:cs="Arial"/>
          <w:sz w:val="22"/>
          <w:szCs w:val="22"/>
          <w:lang w:val="en-GB"/>
        </w:rPr>
      </w:pPr>
      <w:r>
        <w:rPr>
          <w:rFonts w:ascii="Arial" w:hAnsi="Arial" w:cs="Arial"/>
          <w:b/>
          <w:color w:val="0000FF"/>
          <w:sz w:val="22"/>
          <w:szCs w:val="22"/>
          <w:lang w:val="en-GB"/>
        </w:rPr>
        <w:t xml:space="preserve">Figure 3. Phylogeny: </w:t>
      </w:r>
      <w:r>
        <w:rPr>
          <w:rFonts w:ascii="Arial" w:hAnsi="Arial" w:cs="Arial"/>
          <w:sz w:val="22"/>
          <w:szCs w:val="22"/>
          <w:lang w:val="en-GB"/>
        </w:rPr>
        <w:t xml:space="preserve">The phylogenetic tree was constructed using the large subunit terminase </w:t>
      </w:r>
      <w:r w:rsidRPr="00931CE4">
        <w:rPr>
          <w:rFonts w:ascii="Arial" w:hAnsi="Arial" w:cs="Arial"/>
          <w:sz w:val="22"/>
          <w:szCs w:val="22"/>
          <w:lang w:val="en-GB"/>
        </w:rPr>
        <w:t xml:space="preserve"> proteins</w:t>
      </w:r>
      <w:r>
        <w:rPr>
          <w:rFonts w:ascii="Arial" w:hAnsi="Arial" w:cs="Arial"/>
          <w:sz w:val="22"/>
          <w:szCs w:val="22"/>
          <w:lang w:val="en-GB"/>
        </w:rPr>
        <w:t xml:space="preserve"> from these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  </w:t>
      </w:r>
    </w:p>
    <w:p w14:paraId="701C5CAC" w14:textId="77777777" w:rsidR="00D33A63" w:rsidRDefault="00D33A63" w:rsidP="00D33A63">
      <w:pPr>
        <w:rPr>
          <w:rFonts w:ascii="Arial" w:hAnsi="Arial" w:cs="Arial"/>
          <w:sz w:val="22"/>
          <w:szCs w:val="22"/>
          <w:lang w:val="en-GB"/>
        </w:rPr>
      </w:pPr>
    </w:p>
    <w:p w14:paraId="0B1C14CB" w14:textId="77777777" w:rsidR="00D33A63" w:rsidRDefault="00D33A63" w:rsidP="00D33A63">
      <w:pPr>
        <w:rPr>
          <w:rFonts w:ascii="Arial" w:hAnsi="Arial" w:cs="Arial"/>
          <w:sz w:val="22"/>
          <w:szCs w:val="22"/>
          <w:lang w:val="en-GB"/>
        </w:rPr>
      </w:pPr>
    </w:p>
    <w:p w14:paraId="4F566F36" w14:textId="77777777" w:rsidR="00D33A63" w:rsidRDefault="00D33A63" w:rsidP="00D33A63">
      <w:pPr>
        <w:rPr>
          <w:rFonts w:ascii="Arial" w:hAnsi="Arial" w:cs="Arial"/>
          <w:b/>
          <w:sz w:val="22"/>
          <w:szCs w:val="22"/>
        </w:rPr>
      </w:pPr>
      <w:r>
        <w:rPr>
          <w:rFonts w:ascii="Arial" w:hAnsi="Arial" w:cs="Arial"/>
          <w:b/>
          <w:sz w:val="22"/>
          <w:szCs w:val="22"/>
        </w:rPr>
        <w:t xml:space="preserve">Taxonomic Proposals: </w:t>
      </w:r>
    </w:p>
    <w:p w14:paraId="41F53EB0" w14:textId="77777777" w:rsidR="00D33A63" w:rsidRDefault="00D33A63" w:rsidP="00D33A63">
      <w:pPr>
        <w:rPr>
          <w:rFonts w:ascii="Arial" w:eastAsia="Times" w:hAnsi="Arial" w:cs="Arial"/>
          <w:b/>
          <w:color w:val="0000FF"/>
          <w:lang w:eastAsia="en-GB"/>
        </w:rPr>
      </w:pPr>
    </w:p>
    <w:p w14:paraId="7872B821" w14:textId="77777777" w:rsidR="00D33A63" w:rsidRPr="00BA55E5" w:rsidRDefault="00D33A63" w:rsidP="00D33A63">
      <w:pPr>
        <w:pStyle w:val="ListParagraph"/>
        <w:numPr>
          <w:ilvl w:val="0"/>
          <w:numId w:val="4"/>
        </w:numPr>
        <w:rPr>
          <w:rFonts w:ascii="Arial" w:eastAsia="Times" w:hAnsi="Arial" w:cs="Arial"/>
          <w:b/>
          <w:color w:val="0000FF"/>
          <w:lang w:eastAsia="en-GB"/>
        </w:rPr>
      </w:pPr>
      <w:r w:rsidRPr="00BA55E5">
        <w:rPr>
          <w:rFonts w:ascii="Arial" w:eastAsia="Times" w:hAnsi="Arial" w:cs="Arial"/>
          <w:b/>
          <w:color w:val="0000FF"/>
          <w:lang w:eastAsia="en-GB"/>
        </w:rPr>
        <w:t xml:space="preserve">To create a single species genus, </w:t>
      </w:r>
      <w:r w:rsidRPr="00F55371">
        <w:rPr>
          <w:rFonts w:ascii="Arial" w:eastAsia="Times" w:hAnsi="Arial" w:cs="Arial"/>
          <w:b/>
          <w:i/>
          <w:iCs/>
          <w:color w:val="0000FF"/>
          <w:lang w:eastAsia="en-GB"/>
        </w:rPr>
        <w:t>Athenavirus</w:t>
      </w:r>
    </w:p>
    <w:p w14:paraId="640ED427" w14:textId="77777777" w:rsidR="00D33A63" w:rsidRDefault="00D33A63" w:rsidP="00D33A63">
      <w:pPr>
        <w:rPr>
          <w:rFonts w:ascii="Arial" w:hAnsi="Arial" w:cs="Arial"/>
          <w:sz w:val="22"/>
          <w:szCs w:val="22"/>
          <w:lang w:val="en-GB"/>
        </w:rPr>
      </w:pPr>
    </w:p>
    <w:p w14:paraId="27EDDA46" w14:textId="77777777" w:rsidR="00D33A63" w:rsidRPr="00FB5890" w:rsidRDefault="00D33A63" w:rsidP="00D33A63">
      <w:pPr>
        <w:rPr>
          <w:rFonts w:ascii="Arial" w:hAnsi="Arial" w:cs="Arial"/>
          <w:sz w:val="22"/>
          <w:szCs w:val="22"/>
          <w:lang w:val="en-GB"/>
        </w:rPr>
      </w:pPr>
      <w:bookmarkStart w:id="4" w:name="_Hlk131329419"/>
      <w:r>
        <w:rPr>
          <w:rFonts w:ascii="Arial" w:hAnsi="Arial" w:cs="Arial"/>
          <w:b/>
          <w:bCs/>
          <w:color w:val="0000FF"/>
          <w:sz w:val="22"/>
          <w:szCs w:val="22"/>
          <w:lang w:val="en-GB"/>
        </w:rPr>
        <w:t xml:space="preserve">Origin of the name of this taxon:  </w:t>
      </w:r>
      <w:r>
        <w:rPr>
          <w:rFonts w:ascii="Arial" w:hAnsi="Arial" w:cs="Arial"/>
          <w:sz w:val="22"/>
          <w:szCs w:val="22"/>
          <w:lang w:val="en-GB"/>
        </w:rPr>
        <w:t xml:space="preserve">The name of this taxon derives directly from the name of the first isolate of its type, </w:t>
      </w:r>
      <w:r w:rsidRPr="00FB5890">
        <w:rPr>
          <w:rFonts w:ascii="Arial" w:hAnsi="Arial" w:cs="Arial"/>
          <w:sz w:val="22"/>
          <w:szCs w:val="22"/>
          <w:lang w:val="en-GB"/>
        </w:rPr>
        <w:t>Bacillus phage vB_BanS_Athena</w:t>
      </w:r>
    </w:p>
    <w:p w14:paraId="6ADB7DCD" w14:textId="77777777" w:rsidR="00D33A63" w:rsidRDefault="00D33A63" w:rsidP="00D33A63">
      <w:pPr>
        <w:rPr>
          <w:rFonts w:ascii="Arial" w:hAnsi="Arial" w:cs="Arial"/>
          <w:b/>
          <w:bCs/>
          <w:color w:val="0000FF"/>
          <w:sz w:val="22"/>
          <w:szCs w:val="22"/>
          <w:lang w:val="en-GB"/>
        </w:rPr>
      </w:pPr>
    </w:p>
    <w:p w14:paraId="01762187" w14:textId="77777777" w:rsidR="00D33A63" w:rsidRDefault="00D33A63" w:rsidP="00D33A63">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Pr>
          <w:rFonts w:ascii="Arial" w:hAnsi="Arial" w:cs="Arial"/>
          <w:sz w:val="22"/>
          <w:szCs w:val="22"/>
          <w:lang w:val="en-GB"/>
        </w:rPr>
        <w:t>Temperate siphop</w:t>
      </w:r>
      <w:r w:rsidRPr="00BA55E5">
        <w:rPr>
          <w:rFonts w:ascii="Arial" w:hAnsi="Arial" w:cs="Arial"/>
          <w:sz w:val="22"/>
          <w:szCs w:val="22"/>
          <w:lang w:val="en-GB"/>
        </w:rPr>
        <w:t>hage vB_BanS_Athena</w:t>
      </w:r>
      <w:r>
        <w:rPr>
          <w:rFonts w:ascii="Arial" w:hAnsi="Arial" w:cs="Arial"/>
          <w:sz w:val="22"/>
          <w:szCs w:val="22"/>
          <w:lang w:val="en-GB"/>
        </w:rPr>
        <w:t xml:space="preserve"> was isolated from sewage against Bacillus anthracis. </w:t>
      </w:r>
    </w:p>
    <w:p w14:paraId="2BF0FBDB" w14:textId="77777777" w:rsidR="00D33A63" w:rsidRDefault="00D33A63" w:rsidP="00D33A63">
      <w:pPr>
        <w:rPr>
          <w:rFonts w:ascii="Arial" w:hAnsi="Arial" w:cs="Arial"/>
          <w:sz w:val="22"/>
          <w:szCs w:val="22"/>
          <w:lang w:val="en-GB"/>
        </w:rPr>
      </w:pPr>
    </w:p>
    <w:p w14:paraId="56FAC2CC" w14:textId="77777777" w:rsidR="00D33A63" w:rsidRPr="001970D7" w:rsidRDefault="00D33A63" w:rsidP="00D33A63">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6D0FE0F7" w14:textId="77777777" w:rsidR="00D33A63" w:rsidRPr="007F6A64" w:rsidRDefault="00D33A63" w:rsidP="00D33A63">
      <w:pPr>
        <w:rPr>
          <w:rFonts w:ascii="Arial" w:hAnsi="Arial" w:cs="Arial"/>
          <w:sz w:val="22"/>
          <w:szCs w:val="22"/>
          <w:lang w:val="en-GB"/>
        </w:rPr>
      </w:pPr>
    </w:p>
    <w:tbl>
      <w:tblPr>
        <w:tblStyle w:val="TableGrid"/>
        <w:tblW w:w="8499" w:type="dxa"/>
        <w:tblLook w:val="04A0" w:firstRow="1" w:lastRow="0" w:firstColumn="1" w:lastColumn="0" w:noHBand="0" w:noVBand="1"/>
      </w:tblPr>
      <w:tblGrid>
        <w:gridCol w:w="2295"/>
        <w:gridCol w:w="1503"/>
        <w:gridCol w:w="767"/>
        <w:gridCol w:w="694"/>
        <w:gridCol w:w="850"/>
        <w:gridCol w:w="1084"/>
        <w:gridCol w:w="1306"/>
      </w:tblGrid>
      <w:tr w:rsidR="00D33A63" w:rsidRPr="007F6A64" w14:paraId="551A0F76" w14:textId="77777777" w:rsidTr="007D4A0E">
        <w:tc>
          <w:tcPr>
            <w:tcW w:w="2295" w:type="dxa"/>
            <w:tcBorders>
              <w:top w:val="single" w:sz="4" w:space="0" w:color="auto"/>
              <w:left w:val="single" w:sz="4" w:space="0" w:color="auto"/>
              <w:bottom w:val="single" w:sz="4" w:space="0" w:color="auto"/>
              <w:right w:val="single" w:sz="4" w:space="0" w:color="auto"/>
            </w:tcBorders>
            <w:hideMark/>
          </w:tcPr>
          <w:p w14:paraId="15364597" w14:textId="77777777" w:rsidR="00D33A63" w:rsidRPr="00E916FB" w:rsidRDefault="00D33A63" w:rsidP="007D4A0E">
            <w:pPr>
              <w:rPr>
                <w:rFonts w:ascii="Arial" w:hAnsi="Arial" w:cs="Arial"/>
                <w:sz w:val="20"/>
                <w:szCs w:val="20"/>
                <w:lang w:val="en-GB"/>
              </w:rPr>
            </w:pPr>
            <w:r w:rsidRPr="00E916FB">
              <w:rPr>
                <w:rFonts w:ascii="Arial" w:hAnsi="Arial" w:cs="Arial"/>
                <w:sz w:val="20"/>
                <w:szCs w:val="20"/>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5E186E05" w14:textId="77777777" w:rsidR="00D33A63" w:rsidRPr="00E916FB" w:rsidRDefault="00D33A63" w:rsidP="007D4A0E">
            <w:pPr>
              <w:rPr>
                <w:rFonts w:ascii="Arial" w:hAnsi="Arial" w:cs="Arial"/>
                <w:sz w:val="20"/>
                <w:szCs w:val="20"/>
                <w:lang w:val="en-GB"/>
              </w:rPr>
            </w:pPr>
            <w:r w:rsidRPr="00E916FB">
              <w:rPr>
                <w:rFonts w:ascii="Arial" w:hAnsi="Arial" w:cs="Arial"/>
                <w:sz w:val="20"/>
                <w:szCs w:val="20"/>
                <w:lang w:val="en-GB"/>
              </w:rPr>
              <w:t xml:space="preserve">INSDC </w:t>
            </w:r>
          </w:p>
        </w:tc>
        <w:tc>
          <w:tcPr>
            <w:tcW w:w="767" w:type="dxa"/>
            <w:tcBorders>
              <w:top w:val="single" w:sz="4" w:space="0" w:color="auto"/>
              <w:left w:val="single" w:sz="4" w:space="0" w:color="auto"/>
              <w:bottom w:val="single" w:sz="4" w:space="0" w:color="auto"/>
              <w:right w:val="single" w:sz="4" w:space="0" w:color="auto"/>
            </w:tcBorders>
            <w:hideMark/>
          </w:tcPr>
          <w:p w14:paraId="6A41B08C" w14:textId="77777777" w:rsidR="00D33A63" w:rsidRPr="00E916FB" w:rsidRDefault="00D33A63" w:rsidP="007D4A0E">
            <w:pPr>
              <w:rPr>
                <w:rFonts w:ascii="Arial" w:hAnsi="Arial" w:cs="Arial"/>
                <w:sz w:val="20"/>
                <w:szCs w:val="20"/>
                <w:lang w:val="en-GB"/>
              </w:rPr>
            </w:pPr>
            <w:r w:rsidRPr="00E916FB">
              <w:rPr>
                <w:rFonts w:ascii="Arial" w:hAnsi="Arial" w:cs="Arial"/>
                <w:sz w:val="20"/>
                <w:szCs w:val="20"/>
                <w:lang w:val="en-GB"/>
              </w:rPr>
              <w:t>Size (Kb)</w:t>
            </w:r>
          </w:p>
        </w:tc>
        <w:tc>
          <w:tcPr>
            <w:tcW w:w="694" w:type="dxa"/>
            <w:tcBorders>
              <w:top w:val="single" w:sz="4" w:space="0" w:color="auto"/>
              <w:left w:val="single" w:sz="4" w:space="0" w:color="auto"/>
              <w:bottom w:val="single" w:sz="4" w:space="0" w:color="auto"/>
              <w:right w:val="single" w:sz="4" w:space="0" w:color="auto"/>
            </w:tcBorders>
            <w:hideMark/>
          </w:tcPr>
          <w:p w14:paraId="751ED8ED" w14:textId="77777777" w:rsidR="00D33A63" w:rsidRPr="00E916FB" w:rsidRDefault="00D33A63" w:rsidP="007D4A0E">
            <w:pPr>
              <w:rPr>
                <w:rFonts w:ascii="Arial" w:hAnsi="Arial" w:cs="Arial"/>
                <w:sz w:val="20"/>
                <w:szCs w:val="20"/>
                <w:lang w:val="en-GB"/>
              </w:rPr>
            </w:pPr>
            <w:r w:rsidRPr="00E916FB">
              <w:rPr>
                <w:rFonts w:ascii="Arial" w:hAnsi="Arial" w:cs="Arial"/>
                <w:sz w:val="20"/>
                <w:szCs w:val="20"/>
                <w:lang w:val="en-GB"/>
              </w:rPr>
              <w:t xml:space="preserve">GC% </w:t>
            </w:r>
          </w:p>
        </w:tc>
        <w:tc>
          <w:tcPr>
            <w:tcW w:w="850" w:type="dxa"/>
            <w:tcBorders>
              <w:top w:val="single" w:sz="4" w:space="0" w:color="auto"/>
              <w:left w:val="single" w:sz="4" w:space="0" w:color="auto"/>
              <w:bottom w:val="single" w:sz="4" w:space="0" w:color="auto"/>
              <w:right w:val="single" w:sz="4" w:space="0" w:color="auto"/>
            </w:tcBorders>
            <w:hideMark/>
          </w:tcPr>
          <w:p w14:paraId="3B74F5C8" w14:textId="77777777" w:rsidR="00D33A63" w:rsidRPr="00E916FB" w:rsidRDefault="00D33A63" w:rsidP="007D4A0E">
            <w:pPr>
              <w:rPr>
                <w:rFonts w:ascii="Arial" w:hAnsi="Arial" w:cs="Arial"/>
                <w:sz w:val="20"/>
                <w:szCs w:val="20"/>
                <w:lang w:val="en-GB"/>
              </w:rPr>
            </w:pPr>
            <w:r w:rsidRPr="00E916FB">
              <w:rPr>
                <w:rFonts w:ascii="Arial" w:hAnsi="Arial" w:cs="Arial"/>
                <w:sz w:val="20"/>
                <w:szCs w:val="20"/>
                <w:lang w:val="en-GB"/>
              </w:rPr>
              <w:t xml:space="preserve">Protein </w:t>
            </w:r>
          </w:p>
        </w:tc>
        <w:tc>
          <w:tcPr>
            <w:tcW w:w="1084" w:type="dxa"/>
            <w:tcBorders>
              <w:top w:val="single" w:sz="4" w:space="0" w:color="auto"/>
              <w:left w:val="single" w:sz="4" w:space="0" w:color="auto"/>
              <w:bottom w:val="single" w:sz="4" w:space="0" w:color="auto"/>
              <w:right w:val="single" w:sz="4" w:space="0" w:color="auto"/>
            </w:tcBorders>
            <w:hideMark/>
          </w:tcPr>
          <w:p w14:paraId="1105D2E6" w14:textId="77777777" w:rsidR="00D33A63" w:rsidRPr="00E916FB" w:rsidRDefault="00D33A63" w:rsidP="007D4A0E">
            <w:pPr>
              <w:rPr>
                <w:rFonts w:ascii="Arial" w:hAnsi="Arial" w:cs="Arial"/>
                <w:sz w:val="20"/>
                <w:szCs w:val="20"/>
                <w:lang w:val="en-GB"/>
              </w:rPr>
            </w:pPr>
            <w:r w:rsidRPr="00E916FB">
              <w:rPr>
                <w:rFonts w:ascii="Arial" w:hAnsi="Arial" w:cs="Arial"/>
                <w:sz w:val="20"/>
                <w:szCs w:val="20"/>
                <w:lang w:val="en-GB"/>
              </w:rPr>
              <w:t>Overall % DNA sequence identity (*)</w:t>
            </w:r>
          </w:p>
        </w:tc>
        <w:tc>
          <w:tcPr>
            <w:tcW w:w="1306" w:type="dxa"/>
            <w:tcBorders>
              <w:top w:val="single" w:sz="4" w:space="0" w:color="auto"/>
              <w:left w:val="single" w:sz="4" w:space="0" w:color="auto"/>
              <w:bottom w:val="single" w:sz="4" w:space="0" w:color="auto"/>
              <w:right w:val="single" w:sz="4" w:space="0" w:color="auto"/>
            </w:tcBorders>
            <w:hideMark/>
          </w:tcPr>
          <w:p w14:paraId="277881D8" w14:textId="77777777" w:rsidR="00D33A63" w:rsidRPr="00E916FB" w:rsidRDefault="00D33A63" w:rsidP="007D4A0E">
            <w:pPr>
              <w:rPr>
                <w:rFonts w:ascii="Arial" w:hAnsi="Arial" w:cs="Arial"/>
                <w:sz w:val="20"/>
                <w:szCs w:val="20"/>
                <w:lang w:val="en-GB"/>
              </w:rPr>
            </w:pPr>
            <w:r w:rsidRPr="00E916FB">
              <w:rPr>
                <w:rFonts w:ascii="Arial" w:hAnsi="Arial" w:cs="Arial"/>
                <w:sz w:val="20"/>
                <w:szCs w:val="20"/>
                <w:lang w:val="en-GB"/>
              </w:rPr>
              <w:t>Overall % homologous proteins (**)</w:t>
            </w:r>
          </w:p>
        </w:tc>
      </w:tr>
      <w:tr w:rsidR="00D33A63" w:rsidRPr="007F6A64" w14:paraId="0295CEE2" w14:textId="77777777" w:rsidTr="007D4A0E">
        <w:tc>
          <w:tcPr>
            <w:tcW w:w="2295" w:type="dxa"/>
            <w:tcBorders>
              <w:top w:val="single" w:sz="4" w:space="0" w:color="auto"/>
              <w:left w:val="single" w:sz="4" w:space="0" w:color="auto"/>
              <w:bottom w:val="single" w:sz="4" w:space="0" w:color="auto"/>
              <w:right w:val="single" w:sz="4" w:space="0" w:color="auto"/>
            </w:tcBorders>
            <w:vAlign w:val="center"/>
          </w:tcPr>
          <w:p w14:paraId="63D01375" w14:textId="77777777" w:rsidR="00D33A63" w:rsidRPr="00F713B0" w:rsidRDefault="00D33A63" w:rsidP="007D4A0E">
            <w:pPr>
              <w:rPr>
                <w:rFonts w:ascii="Arial" w:hAnsi="Arial" w:cs="Arial"/>
                <w:sz w:val="22"/>
                <w:szCs w:val="22"/>
                <w:lang w:val="en-GB"/>
              </w:rPr>
            </w:pPr>
            <w:bookmarkStart w:id="5" w:name="_Hlk131494182"/>
            <w:r w:rsidRPr="00BA55E5">
              <w:rPr>
                <w:rFonts w:ascii="Arial" w:hAnsi="Arial" w:cs="Arial"/>
                <w:sz w:val="22"/>
                <w:szCs w:val="22"/>
                <w:lang w:val="en-GB"/>
              </w:rPr>
              <w:t>Bacillus phage vB_BanS_Athena</w:t>
            </w:r>
            <w:bookmarkEnd w:id="5"/>
          </w:p>
        </w:tc>
        <w:tc>
          <w:tcPr>
            <w:tcW w:w="1503" w:type="dxa"/>
            <w:vAlign w:val="center"/>
          </w:tcPr>
          <w:p w14:paraId="4087576E" w14:textId="77777777" w:rsidR="00D33A63" w:rsidRPr="00F713B0" w:rsidRDefault="005231CF" w:rsidP="007D4A0E">
            <w:pPr>
              <w:rPr>
                <w:rFonts w:ascii="Arial" w:hAnsi="Arial" w:cs="Arial"/>
                <w:sz w:val="22"/>
                <w:szCs w:val="22"/>
              </w:rPr>
            </w:pPr>
            <w:hyperlink r:id="rId13" w:tgtFrame="_blank" w:history="1">
              <w:r w:rsidR="00D33A63">
                <w:rPr>
                  <w:rStyle w:val="Hyperlink"/>
                </w:rPr>
                <w:t>OK500002.1</w:t>
              </w:r>
            </w:hyperlink>
          </w:p>
        </w:tc>
        <w:tc>
          <w:tcPr>
            <w:tcW w:w="767" w:type="dxa"/>
            <w:vAlign w:val="center"/>
          </w:tcPr>
          <w:p w14:paraId="2331EE54" w14:textId="77777777" w:rsidR="00D33A63" w:rsidRPr="00F713B0" w:rsidRDefault="00D33A63" w:rsidP="007D4A0E">
            <w:pPr>
              <w:rPr>
                <w:rFonts w:ascii="Arial" w:hAnsi="Arial" w:cs="Arial"/>
                <w:sz w:val="22"/>
                <w:szCs w:val="22"/>
                <w:lang w:val="en-GB"/>
              </w:rPr>
            </w:pPr>
            <w:r>
              <w:t>37.37</w:t>
            </w:r>
          </w:p>
        </w:tc>
        <w:tc>
          <w:tcPr>
            <w:tcW w:w="694" w:type="dxa"/>
            <w:vAlign w:val="center"/>
          </w:tcPr>
          <w:p w14:paraId="4D90DE69" w14:textId="77777777" w:rsidR="00D33A63" w:rsidRPr="00F713B0" w:rsidRDefault="00D33A63" w:rsidP="007D4A0E">
            <w:pPr>
              <w:rPr>
                <w:rFonts w:ascii="Arial" w:hAnsi="Arial" w:cs="Arial"/>
                <w:sz w:val="22"/>
                <w:szCs w:val="22"/>
                <w:lang w:val="en-GB"/>
              </w:rPr>
            </w:pPr>
            <w:r>
              <w:t>35.3</w:t>
            </w:r>
          </w:p>
        </w:tc>
        <w:tc>
          <w:tcPr>
            <w:tcW w:w="850" w:type="dxa"/>
            <w:vAlign w:val="center"/>
          </w:tcPr>
          <w:p w14:paraId="49B15070" w14:textId="77777777" w:rsidR="00D33A63" w:rsidRPr="00F713B0" w:rsidRDefault="005231CF" w:rsidP="007D4A0E">
            <w:pPr>
              <w:rPr>
                <w:rFonts w:ascii="Arial" w:hAnsi="Arial" w:cs="Arial"/>
                <w:sz w:val="22"/>
                <w:szCs w:val="22"/>
              </w:rPr>
            </w:pPr>
            <w:hyperlink r:id="rId14" w:anchor="!/proteins/109261/1760526|Bacillus phage vB_BanS_Athena/viral segment/" w:history="1">
              <w:r w:rsidR="00D33A63">
                <w:rPr>
                  <w:rStyle w:val="Hyperlink"/>
                  <w:color w:val="000080"/>
                </w:rPr>
                <w:t>65</w:t>
              </w:r>
            </w:hyperlink>
          </w:p>
        </w:tc>
        <w:tc>
          <w:tcPr>
            <w:tcW w:w="1084" w:type="dxa"/>
            <w:tcBorders>
              <w:top w:val="single" w:sz="4" w:space="0" w:color="auto"/>
              <w:left w:val="single" w:sz="4" w:space="0" w:color="auto"/>
              <w:bottom w:val="single" w:sz="4" w:space="0" w:color="auto"/>
              <w:right w:val="single" w:sz="4" w:space="0" w:color="auto"/>
            </w:tcBorders>
            <w:vAlign w:val="center"/>
          </w:tcPr>
          <w:p w14:paraId="3267C0EA" w14:textId="77777777" w:rsidR="00D33A63" w:rsidRPr="00F713B0" w:rsidRDefault="00D33A63" w:rsidP="007D4A0E">
            <w:pPr>
              <w:rPr>
                <w:rFonts w:ascii="Arial" w:hAnsi="Arial" w:cs="Arial"/>
                <w:sz w:val="22"/>
                <w:szCs w:val="22"/>
              </w:rPr>
            </w:pPr>
            <w:r w:rsidRPr="00F713B0">
              <w:rPr>
                <w:rFonts w:ascii="Arial" w:hAnsi="Arial" w:cs="Arial"/>
                <w:sz w:val="22"/>
                <w:szCs w:val="22"/>
              </w:rPr>
              <w:t>100</w:t>
            </w:r>
          </w:p>
        </w:tc>
        <w:tc>
          <w:tcPr>
            <w:tcW w:w="1306" w:type="dxa"/>
            <w:tcBorders>
              <w:top w:val="single" w:sz="4" w:space="0" w:color="auto"/>
              <w:left w:val="single" w:sz="4" w:space="0" w:color="auto"/>
              <w:bottom w:val="single" w:sz="4" w:space="0" w:color="auto"/>
              <w:right w:val="single" w:sz="4" w:space="0" w:color="auto"/>
            </w:tcBorders>
            <w:vAlign w:val="center"/>
          </w:tcPr>
          <w:p w14:paraId="51609DE2" w14:textId="77777777" w:rsidR="00D33A63" w:rsidRPr="00E916FB" w:rsidRDefault="00D33A63" w:rsidP="007D4A0E">
            <w:pPr>
              <w:rPr>
                <w:rFonts w:ascii="Arial" w:hAnsi="Arial" w:cs="Arial"/>
                <w:sz w:val="20"/>
                <w:szCs w:val="20"/>
              </w:rPr>
            </w:pPr>
            <w:r w:rsidRPr="00E916FB">
              <w:rPr>
                <w:rFonts w:ascii="Arial" w:hAnsi="Arial" w:cs="Arial"/>
                <w:sz w:val="20"/>
                <w:szCs w:val="20"/>
              </w:rPr>
              <w:t>100</w:t>
            </w:r>
          </w:p>
        </w:tc>
      </w:tr>
    </w:tbl>
    <w:p w14:paraId="482E572B" w14:textId="77777777" w:rsidR="00D33A63" w:rsidRDefault="00D33A63" w:rsidP="00D33A63">
      <w:pPr>
        <w:rPr>
          <w:rFonts w:ascii="Arial" w:hAnsi="Arial" w:cs="Arial"/>
          <w:b/>
          <w:sz w:val="22"/>
          <w:szCs w:val="22"/>
        </w:rPr>
      </w:pPr>
    </w:p>
    <w:p w14:paraId="34D2E6C3" w14:textId="059D2EA8" w:rsidR="00D33A63" w:rsidRDefault="00D33A63" w:rsidP="00D33A63">
      <w:pPr>
        <w:rPr>
          <w:rFonts w:ascii="Arial" w:hAnsi="Arial" w:cs="Arial"/>
          <w:bCs/>
          <w:sz w:val="22"/>
          <w:szCs w:val="22"/>
        </w:rPr>
      </w:pPr>
      <w:r w:rsidRPr="00BA55E5">
        <w:rPr>
          <w:rFonts w:ascii="Arial" w:hAnsi="Arial" w:cs="Arial"/>
          <w:b/>
          <w:color w:val="0000FF"/>
          <w:sz w:val="22"/>
          <w:szCs w:val="22"/>
        </w:rPr>
        <w:t>Conclusion:</w:t>
      </w:r>
      <w:r w:rsidRPr="00237AC8">
        <w:rPr>
          <w:rFonts w:ascii="Arial" w:hAnsi="Arial" w:cs="Arial"/>
          <w:b/>
          <w:color w:val="0000FF"/>
          <w:sz w:val="22"/>
          <w:szCs w:val="22"/>
        </w:rPr>
        <w:t xml:space="preserve"> </w:t>
      </w:r>
      <w:r w:rsidRPr="00D33A63">
        <w:rPr>
          <w:rFonts w:ascii="Arial" w:hAnsi="Arial" w:cs="Arial"/>
          <w:bCs/>
          <w:sz w:val="22"/>
          <w:szCs w:val="22"/>
        </w:rPr>
        <w:t>A genus comprised of a single species is proposed</w:t>
      </w:r>
      <w:r w:rsidRPr="00D33A63">
        <w:rPr>
          <w:rFonts w:ascii="Arial" w:hAnsi="Arial" w:cs="Arial"/>
          <w:b/>
          <w:sz w:val="22"/>
          <w:szCs w:val="22"/>
        </w:rPr>
        <w:t xml:space="preserve"> </w:t>
      </w:r>
      <w:r>
        <w:rPr>
          <w:rFonts w:ascii="Arial" w:hAnsi="Arial" w:cs="Arial"/>
          <w:bCs/>
          <w:sz w:val="22"/>
          <w:szCs w:val="22"/>
        </w:rPr>
        <w:t>on the basis of DNA (Fig. 1) and protein (Fig. 2) similarity; and phylogenetic analysis of the TerL proteins (Fig. 3).</w:t>
      </w:r>
    </w:p>
    <w:p w14:paraId="19EBA507" w14:textId="77777777" w:rsidR="00D33A63" w:rsidRDefault="00D33A63" w:rsidP="00D33A63">
      <w:pPr>
        <w:rPr>
          <w:rFonts w:ascii="Arial" w:hAnsi="Arial" w:cs="Arial"/>
          <w:bCs/>
          <w:sz w:val="22"/>
          <w:szCs w:val="22"/>
        </w:rPr>
      </w:pPr>
    </w:p>
    <w:p w14:paraId="0026BD63" w14:textId="5F7B14F1" w:rsidR="00D33A63" w:rsidRPr="001C2237" w:rsidRDefault="00D33A63" w:rsidP="00D33A63">
      <w:pPr>
        <w:pStyle w:val="BodyTextIndent"/>
        <w:numPr>
          <w:ilvl w:val="0"/>
          <w:numId w:val="4"/>
        </w:numPr>
        <w:spacing w:before="120" w:after="120"/>
        <w:rPr>
          <w:rFonts w:ascii="Arial" w:hAnsi="Arial" w:cs="Arial"/>
          <w:b/>
          <w:color w:val="0000FF"/>
          <w:szCs w:val="24"/>
        </w:rPr>
      </w:pPr>
      <w:r>
        <w:rPr>
          <w:rFonts w:ascii="Arial" w:hAnsi="Arial" w:cs="Arial"/>
          <w:b/>
          <w:color w:val="0000FF"/>
          <w:szCs w:val="24"/>
        </w:rPr>
        <w:t xml:space="preserve">To create a single species genus, </w:t>
      </w:r>
      <w:r>
        <w:rPr>
          <w:rFonts w:ascii="Arial" w:hAnsi="Arial" w:cs="Arial"/>
          <w:b/>
          <w:i/>
          <w:iCs/>
          <w:color w:val="0000FF"/>
          <w:szCs w:val="24"/>
        </w:rPr>
        <w:t>Theosmith</w:t>
      </w:r>
      <w:r w:rsidRPr="00864E72">
        <w:rPr>
          <w:rFonts w:ascii="Arial" w:hAnsi="Arial" w:cs="Arial"/>
          <w:b/>
          <w:i/>
          <w:iCs/>
          <w:color w:val="0000FF"/>
          <w:szCs w:val="24"/>
        </w:rPr>
        <w:t>virus</w:t>
      </w:r>
    </w:p>
    <w:p w14:paraId="693C2926" w14:textId="77777777" w:rsidR="00D33A63" w:rsidRDefault="00D33A63" w:rsidP="00D33A63">
      <w:pPr>
        <w:rPr>
          <w:rFonts w:ascii="Arial" w:hAnsi="Arial" w:cs="Arial"/>
          <w:b/>
          <w:bCs/>
          <w:color w:val="0000FF"/>
          <w:sz w:val="22"/>
          <w:szCs w:val="22"/>
          <w:lang w:val="en-GB"/>
        </w:rPr>
      </w:pPr>
    </w:p>
    <w:p w14:paraId="44037AC3" w14:textId="053217C2" w:rsidR="00D33A63" w:rsidRDefault="00D33A63" w:rsidP="00D33A63">
      <w:pPr>
        <w:rPr>
          <w:rFonts w:ascii="Arial" w:hAnsi="Arial" w:cs="Arial"/>
          <w:sz w:val="22"/>
          <w:szCs w:val="22"/>
          <w:lang w:val="en-GB"/>
        </w:rPr>
      </w:pPr>
      <w:bookmarkStart w:id="6" w:name="_Hlk131494398"/>
      <w:r>
        <w:rPr>
          <w:rFonts w:ascii="Arial" w:hAnsi="Arial" w:cs="Arial"/>
          <w:b/>
          <w:bCs/>
          <w:color w:val="0000FF"/>
          <w:sz w:val="22"/>
          <w:szCs w:val="22"/>
          <w:lang w:val="en-GB"/>
        </w:rPr>
        <w:t>Origin of the name of this taxon:</w:t>
      </w:r>
      <w:r>
        <w:rPr>
          <w:rFonts w:ascii="Arial" w:hAnsi="Arial" w:cs="Arial"/>
          <w:sz w:val="22"/>
          <w:szCs w:val="22"/>
          <w:lang w:val="en-GB"/>
        </w:rPr>
        <w:t xml:space="preserve"> </w:t>
      </w:r>
      <w:bookmarkEnd w:id="6"/>
      <w:r w:rsidRPr="00E463D0">
        <w:rPr>
          <w:rFonts w:ascii="Arial" w:hAnsi="Arial" w:cs="Arial"/>
          <w:sz w:val="22"/>
          <w:szCs w:val="22"/>
          <w:lang w:val="en-GB"/>
        </w:rPr>
        <w:t>This taxon was named in honour of American pioneer epidemiologist, bacteriologist, and pathologist, Theobald Smith (b. 1859, Albany, N.Y., d. 1934, New York, N.Y).  Received his M.D. from Albany Medical College in 1883.   From 1886 - 1895 he taught at what is now George Washington University and created thss university's Department of Bacteriology. In 1895</w:t>
      </w:r>
      <w:r>
        <w:rPr>
          <w:rFonts w:ascii="Arial" w:hAnsi="Arial" w:cs="Arial"/>
          <w:sz w:val="22"/>
          <w:szCs w:val="22"/>
          <w:lang w:val="en-GB"/>
        </w:rPr>
        <w:t>,</w:t>
      </w:r>
      <w:r w:rsidRPr="00E463D0">
        <w:rPr>
          <w:rFonts w:ascii="Arial" w:hAnsi="Arial" w:cs="Arial"/>
          <w:sz w:val="22"/>
          <w:szCs w:val="22"/>
          <w:lang w:val="en-GB"/>
        </w:rPr>
        <w:t xml:space="preserve"> Smith took up the position of professor of comparative pathology at Harvard University where he remained until 1915.  At the end of his illustrious career he was Director of the Department of Animal Pathology at the Rockefeller Institute for Medical Research.  We have chosen to honour him because Bacillus phage 0105phi7-2</w:t>
      </w:r>
      <w:r>
        <w:rPr>
          <w:rFonts w:ascii="Arial" w:hAnsi="Arial" w:cs="Arial"/>
          <w:sz w:val="22"/>
          <w:szCs w:val="22"/>
          <w:lang w:val="en-GB"/>
        </w:rPr>
        <w:t xml:space="preserve"> </w:t>
      </w:r>
      <w:r w:rsidRPr="00E463D0">
        <w:rPr>
          <w:rFonts w:ascii="Arial" w:hAnsi="Arial" w:cs="Arial"/>
          <w:sz w:val="22"/>
          <w:szCs w:val="22"/>
          <w:lang w:val="en-GB"/>
        </w:rPr>
        <w:t>was isolated from the King Ranch in Kingsville (Texas), the site of Smith's research on Texas fever.</w:t>
      </w:r>
    </w:p>
    <w:p w14:paraId="5489588A" w14:textId="77777777" w:rsidR="00D33A63" w:rsidRPr="00E463D0" w:rsidRDefault="00D33A63" w:rsidP="00D33A63">
      <w:pPr>
        <w:rPr>
          <w:rFonts w:ascii="Arial" w:hAnsi="Arial" w:cs="Arial"/>
          <w:sz w:val="22"/>
          <w:szCs w:val="22"/>
          <w:lang w:val="en-GB"/>
        </w:rPr>
      </w:pPr>
    </w:p>
    <w:p w14:paraId="604C0D34" w14:textId="77777777" w:rsidR="00D33A63" w:rsidRDefault="00D33A63" w:rsidP="00D33A63">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Pr>
          <w:rFonts w:ascii="Arial" w:hAnsi="Arial" w:cs="Arial"/>
          <w:sz w:val="22"/>
          <w:szCs w:val="22"/>
          <w:lang w:val="en-GB"/>
        </w:rPr>
        <w:t>Temperate siphop</w:t>
      </w:r>
      <w:r w:rsidRPr="00BA55E5">
        <w:rPr>
          <w:rFonts w:ascii="Arial" w:hAnsi="Arial" w:cs="Arial"/>
          <w:sz w:val="22"/>
          <w:szCs w:val="22"/>
          <w:lang w:val="en-GB"/>
        </w:rPr>
        <w:t>hage 0105phi7-2</w:t>
      </w:r>
      <w:r>
        <w:rPr>
          <w:rFonts w:ascii="Arial" w:hAnsi="Arial" w:cs="Arial"/>
          <w:sz w:val="22"/>
          <w:szCs w:val="22"/>
          <w:lang w:val="en-GB"/>
        </w:rPr>
        <w:t xml:space="preserve"> was isolated against </w:t>
      </w:r>
      <w:r w:rsidRPr="00BA55E5">
        <w:rPr>
          <w:rFonts w:ascii="Arial" w:hAnsi="Arial" w:cs="Arial"/>
          <w:sz w:val="22"/>
          <w:szCs w:val="22"/>
          <w:lang w:val="en-GB"/>
        </w:rPr>
        <w:t>Bacillus thuringiensis</w:t>
      </w:r>
      <w:r>
        <w:rPr>
          <w:rFonts w:ascii="Arial" w:hAnsi="Arial" w:cs="Arial"/>
          <w:sz w:val="22"/>
          <w:szCs w:val="22"/>
          <w:lang w:val="en-GB"/>
        </w:rPr>
        <w:t xml:space="preserve">. </w:t>
      </w:r>
      <w:r w:rsidRPr="00861CF6">
        <w:rPr>
          <w:rFonts w:ascii="Arial" w:hAnsi="Arial" w:cs="Arial"/>
          <w:sz w:val="22"/>
          <w:szCs w:val="22"/>
          <w:lang w:val="en-GB"/>
        </w:rPr>
        <w:t>Phage 0105phi7-2 is diverse in (1) absence of head-assembly scaffolding via either separate protein or classically-sized, head protein-embedded peptide, (2) producing partially condensed, head-expelled DNA, and (3) having a surface relatively poor in AGE-detected net negative charges, which is possibly correlated with observed low murine blood persistence.</w:t>
      </w:r>
    </w:p>
    <w:p w14:paraId="60A36226" w14:textId="77777777" w:rsidR="00D33A63" w:rsidRDefault="00D33A63" w:rsidP="00D33A63">
      <w:pPr>
        <w:rPr>
          <w:rFonts w:ascii="Arial" w:hAnsi="Arial" w:cs="Arial"/>
          <w:sz w:val="22"/>
          <w:szCs w:val="22"/>
          <w:lang w:val="en-GB"/>
        </w:rPr>
      </w:pPr>
    </w:p>
    <w:p w14:paraId="76F938F9" w14:textId="6535BEF3" w:rsidR="00D33A63" w:rsidRPr="001970D7" w:rsidRDefault="00D33A63" w:rsidP="00D33A63">
      <w:pPr>
        <w:rPr>
          <w:rFonts w:ascii="Arial" w:hAnsi="Arial" w:cs="Arial"/>
          <w:sz w:val="22"/>
          <w:szCs w:val="22"/>
          <w:lang w:val="en-GB"/>
        </w:rPr>
      </w:pPr>
      <w:r w:rsidRPr="007F6A64">
        <w:rPr>
          <w:rFonts w:ascii="Arial" w:hAnsi="Arial" w:cs="Arial"/>
          <w:b/>
          <w:bCs/>
          <w:color w:val="0000FF"/>
          <w:sz w:val="22"/>
          <w:szCs w:val="22"/>
          <w:lang w:val="en-GB"/>
        </w:rPr>
        <w:t>Genome summary:</w:t>
      </w:r>
    </w:p>
    <w:p w14:paraId="520B9B3F" w14:textId="77777777" w:rsidR="00D33A63" w:rsidRPr="007F6A64" w:rsidRDefault="00D33A63" w:rsidP="00D33A63">
      <w:pPr>
        <w:rPr>
          <w:rFonts w:ascii="Arial" w:hAnsi="Arial" w:cs="Arial"/>
          <w:sz w:val="22"/>
          <w:szCs w:val="22"/>
          <w:lang w:val="en-GB"/>
        </w:rPr>
      </w:pPr>
    </w:p>
    <w:tbl>
      <w:tblPr>
        <w:tblStyle w:val="TableGrid"/>
        <w:tblW w:w="8499" w:type="dxa"/>
        <w:tblLook w:val="04A0" w:firstRow="1" w:lastRow="0" w:firstColumn="1" w:lastColumn="0" w:noHBand="0" w:noVBand="1"/>
      </w:tblPr>
      <w:tblGrid>
        <w:gridCol w:w="2295"/>
        <w:gridCol w:w="1503"/>
        <w:gridCol w:w="767"/>
        <w:gridCol w:w="694"/>
        <w:gridCol w:w="850"/>
        <w:gridCol w:w="1084"/>
        <w:gridCol w:w="1306"/>
      </w:tblGrid>
      <w:tr w:rsidR="00D33A63" w:rsidRPr="007F6A64" w14:paraId="5CC12ACA" w14:textId="77777777" w:rsidTr="007D4A0E">
        <w:tc>
          <w:tcPr>
            <w:tcW w:w="2295" w:type="dxa"/>
            <w:tcBorders>
              <w:top w:val="single" w:sz="4" w:space="0" w:color="auto"/>
              <w:left w:val="single" w:sz="4" w:space="0" w:color="auto"/>
              <w:bottom w:val="single" w:sz="4" w:space="0" w:color="auto"/>
              <w:right w:val="single" w:sz="4" w:space="0" w:color="auto"/>
            </w:tcBorders>
            <w:hideMark/>
          </w:tcPr>
          <w:p w14:paraId="224FA438" w14:textId="77777777" w:rsidR="00D33A63" w:rsidRPr="00E916FB" w:rsidRDefault="00D33A63" w:rsidP="007D4A0E">
            <w:pPr>
              <w:rPr>
                <w:rFonts w:ascii="Arial" w:hAnsi="Arial" w:cs="Arial"/>
                <w:sz w:val="20"/>
                <w:szCs w:val="20"/>
                <w:lang w:val="en-GB"/>
              </w:rPr>
            </w:pPr>
            <w:r w:rsidRPr="00E916FB">
              <w:rPr>
                <w:rFonts w:ascii="Arial" w:hAnsi="Arial" w:cs="Arial"/>
                <w:sz w:val="20"/>
                <w:szCs w:val="20"/>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645BB422" w14:textId="77777777" w:rsidR="00D33A63" w:rsidRPr="00E916FB" w:rsidRDefault="00D33A63" w:rsidP="007D4A0E">
            <w:pPr>
              <w:rPr>
                <w:rFonts w:ascii="Arial" w:hAnsi="Arial" w:cs="Arial"/>
                <w:sz w:val="20"/>
                <w:szCs w:val="20"/>
                <w:lang w:val="en-GB"/>
              </w:rPr>
            </w:pPr>
            <w:r w:rsidRPr="00E916FB">
              <w:rPr>
                <w:rFonts w:ascii="Arial" w:hAnsi="Arial" w:cs="Arial"/>
                <w:sz w:val="20"/>
                <w:szCs w:val="20"/>
                <w:lang w:val="en-GB"/>
              </w:rPr>
              <w:t xml:space="preserve">INSDC </w:t>
            </w:r>
          </w:p>
        </w:tc>
        <w:tc>
          <w:tcPr>
            <w:tcW w:w="767" w:type="dxa"/>
            <w:tcBorders>
              <w:top w:val="single" w:sz="4" w:space="0" w:color="auto"/>
              <w:left w:val="single" w:sz="4" w:space="0" w:color="auto"/>
              <w:bottom w:val="single" w:sz="4" w:space="0" w:color="auto"/>
              <w:right w:val="single" w:sz="4" w:space="0" w:color="auto"/>
            </w:tcBorders>
            <w:hideMark/>
          </w:tcPr>
          <w:p w14:paraId="2D1A7A9B" w14:textId="77777777" w:rsidR="00D33A63" w:rsidRPr="00E916FB" w:rsidRDefault="00D33A63" w:rsidP="007D4A0E">
            <w:pPr>
              <w:rPr>
                <w:rFonts w:ascii="Arial" w:hAnsi="Arial" w:cs="Arial"/>
                <w:sz w:val="20"/>
                <w:szCs w:val="20"/>
                <w:lang w:val="en-GB"/>
              </w:rPr>
            </w:pPr>
            <w:r w:rsidRPr="00E916FB">
              <w:rPr>
                <w:rFonts w:ascii="Arial" w:hAnsi="Arial" w:cs="Arial"/>
                <w:sz w:val="20"/>
                <w:szCs w:val="20"/>
                <w:lang w:val="en-GB"/>
              </w:rPr>
              <w:t>Size (Kb)</w:t>
            </w:r>
          </w:p>
        </w:tc>
        <w:tc>
          <w:tcPr>
            <w:tcW w:w="694" w:type="dxa"/>
            <w:tcBorders>
              <w:top w:val="single" w:sz="4" w:space="0" w:color="auto"/>
              <w:left w:val="single" w:sz="4" w:space="0" w:color="auto"/>
              <w:bottom w:val="single" w:sz="4" w:space="0" w:color="auto"/>
              <w:right w:val="single" w:sz="4" w:space="0" w:color="auto"/>
            </w:tcBorders>
            <w:hideMark/>
          </w:tcPr>
          <w:p w14:paraId="6BDE689E" w14:textId="77777777" w:rsidR="00D33A63" w:rsidRPr="00E916FB" w:rsidRDefault="00D33A63" w:rsidP="007D4A0E">
            <w:pPr>
              <w:rPr>
                <w:rFonts w:ascii="Arial" w:hAnsi="Arial" w:cs="Arial"/>
                <w:sz w:val="20"/>
                <w:szCs w:val="20"/>
                <w:lang w:val="en-GB"/>
              </w:rPr>
            </w:pPr>
            <w:r w:rsidRPr="00E916FB">
              <w:rPr>
                <w:rFonts w:ascii="Arial" w:hAnsi="Arial" w:cs="Arial"/>
                <w:sz w:val="20"/>
                <w:szCs w:val="20"/>
                <w:lang w:val="en-GB"/>
              </w:rPr>
              <w:t xml:space="preserve">GC% </w:t>
            </w:r>
          </w:p>
        </w:tc>
        <w:tc>
          <w:tcPr>
            <w:tcW w:w="850" w:type="dxa"/>
            <w:tcBorders>
              <w:top w:val="single" w:sz="4" w:space="0" w:color="auto"/>
              <w:left w:val="single" w:sz="4" w:space="0" w:color="auto"/>
              <w:bottom w:val="single" w:sz="4" w:space="0" w:color="auto"/>
              <w:right w:val="single" w:sz="4" w:space="0" w:color="auto"/>
            </w:tcBorders>
            <w:hideMark/>
          </w:tcPr>
          <w:p w14:paraId="4E606D35" w14:textId="77777777" w:rsidR="00D33A63" w:rsidRPr="00E916FB" w:rsidRDefault="00D33A63" w:rsidP="007D4A0E">
            <w:pPr>
              <w:rPr>
                <w:rFonts w:ascii="Arial" w:hAnsi="Arial" w:cs="Arial"/>
                <w:sz w:val="20"/>
                <w:szCs w:val="20"/>
                <w:lang w:val="en-GB"/>
              </w:rPr>
            </w:pPr>
            <w:r w:rsidRPr="00E916FB">
              <w:rPr>
                <w:rFonts w:ascii="Arial" w:hAnsi="Arial" w:cs="Arial"/>
                <w:sz w:val="20"/>
                <w:szCs w:val="20"/>
                <w:lang w:val="en-GB"/>
              </w:rPr>
              <w:t xml:space="preserve">Protein </w:t>
            </w:r>
          </w:p>
        </w:tc>
        <w:tc>
          <w:tcPr>
            <w:tcW w:w="1084" w:type="dxa"/>
            <w:tcBorders>
              <w:top w:val="single" w:sz="4" w:space="0" w:color="auto"/>
              <w:left w:val="single" w:sz="4" w:space="0" w:color="auto"/>
              <w:bottom w:val="single" w:sz="4" w:space="0" w:color="auto"/>
              <w:right w:val="single" w:sz="4" w:space="0" w:color="auto"/>
            </w:tcBorders>
            <w:hideMark/>
          </w:tcPr>
          <w:p w14:paraId="644A752D" w14:textId="77777777" w:rsidR="00D33A63" w:rsidRPr="00E916FB" w:rsidRDefault="00D33A63" w:rsidP="007D4A0E">
            <w:pPr>
              <w:rPr>
                <w:rFonts w:ascii="Arial" w:hAnsi="Arial" w:cs="Arial"/>
                <w:sz w:val="20"/>
                <w:szCs w:val="20"/>
                <w:lang w:val="en-GB"/>
              </w:rPr>
            </w:pPr>
            <w:r w:rsidRPr="00E916FB">
              <w:rPr>
                <w:rFonts w:ascii="Arial" w:hAnsi="Arial" w:cs="Arial"/>
                <w:sz w:val="20"/>
                <w:szCs w:val="20"/>
                <w:lang w:val="en-GB"/>
              </w:rPr>
              <w:t>Overall % DNA sequence identity (*)</w:t>
            </w:r>
          </w:p>
        </w:tc>
        <w:tc>
          <w:tcPr>
            <w:tcW w:w="1306" w:type="dxa"/>
            <w:tcBorders>
              <w:top w:val="single" w:sz="4" w:space="0" w:color="auto"/>
              <w:left w:val="single" w:sz="4" w:space="0" w:color="auto"/>
              <w:bottom w:val="single" w:sz="4" w:space="0" w:color="auto"/>
              <w:right w:val="single" w:sz="4" w:space="0" w:color="auto"/>
            </w:tcBorders>
            <w:hideMark/>
          </w:tcPr>
          <w:p w14:paraId="177E20E8" w14:textId="77777777" w:rsidR="00D33A63" w:rsidRPr="00E916FB" w:rsidRDefault="00D33A63" w:rsidP="007D4A0E">
            <w:pPr>
              <w:rPr>
                <w:rFonts w:ascii="Arial" w:hAnsi="Arial" w:cs="Arial"/>
                <w:sz w:val="20"/>
                <w:szCs w:val="20"/>
                <w:lang w:val="en-GB"/>
              </w:rPr>
            </w:pPr>
            <w:r w:rsidRPr="00E916FB">
              <w:rPr>
                <w:rFonts w:ascii="Arial" w:hAnsi="Arial" w:cs="Arial"/>
                <w:sz w:val="20"/>
                <w:szCs w:val="20"/>
                <w:lang w:val="en-GB"/>
              </w:rPr>
              <w:t>Overall % homologous proteins (**)</w:t>
            </w:r>
          </w:p>
        </w:tc>
      </w:tr>
      <w:tr w:rsidR="00D33A63" w:rsidRPr="007F6A64" w14:paraId="6B234964" w14:textId="77777777" w:rsidTr="007D4A0E">
        <w:tc>
          <w:tcPr>
            <w:tcW w:w="2295" w:type="dxa"/>
            <w:tcBorders>
              <w:top w:val="single" w:sz="4" w:space="0" w:color="auto"/>
              <w:left w:val="single" w:sz="4" w:space="0" w:color="auto"/>
              <w:bottom w:val="single" w:sz="4" w:space="0" w:color="auto"/>
              <w:right w:val="single" w:sz="4" w:space="0" w:color="auto"/>
            </w:tcBorders>
            <w:vAlign w:val="center"/>
          </w:tcPr>
          <w:p w14:paraId="79935E4C" w14:textId="77777777" w:rsidR="00D33A63" w:rsidRPr="00F713B0" w:rsidRDefault="00D33A63" w:rsidP="007D4A0E">
            <w:pPr>
              <w:rPr>
                <w:rFonts w:ascii="Arial" w:hAnsi="Arial" w:cs="Arial"/>
                <w:sz w:val="22"/>
                <w:szCs w:val="22"/>
                <w:lang w:val="en-GB"/>
              </w:rPr>
            </w:pPr>
            <w:r w:rsidRPr="00BA55E5">
              <w:rPr>
                <w:rFonts w:ascii="Arial" w:hAnsi="Arial" w:cs="Arial"/>
                <w:sz w:val="22"/>
                <w:szCs w:val="22"/>
                <w:lang w:val="en-GB"/>
              </w:rPr>
              <w:t xml:space="preserve">Bacillus phage </w:t>
            </w:r>
            <w:bookmarkStart w:id="7" w:name="_Hlk131494281"/>
            <w:r w:rsidRPr="00BA55E5">
              <w:rPr>
                <w:rFonts w:ascii="Arial" w:hAnsi="Arial" w:cs="Arial"/>
                <w:sz w:val="22"/>
                <w:szCs w:val="22"/>
                <w:lang w:val="en-GB"/>
              </w:rPr>
              <w:t>0105phi7-2</w:t>
            </w:r>
            <w:bookmarkEnd w:id="7"/>
          </w:p>
        </w:tc>
        <w:tc>
          <w:tcPr>
            <w:tcW w:w="1503" w:type="dxa"/>
            <w:vAlign w:val="center"/>
          </w:tcPr>
          <w:p w14:paraId="25957E6D" w14:textId="77777777" w:rsidR="00D33A63" w:rsidRPr="00F713B0" w:rsidRDefault="00D33A63" w:rsidP="007D4A0E">
            <w:pPr>
              <w:rPr>
                <w:rFonts w:ascii="Arial" w:hAnsi="Arial" w:cs="Arial"/>
                <w:sz w:val="22"/>
                <w:szCs w:val="22"/>
              </w:rPr>
            </w:pPr>
            <w:r w:rsidRPr="007D3D6A">
              <w:rPr>
                <w:rFonts w:ascii="Arial" w:hAnsi="Arial" w:cs="Arial"/>
                <w:sz w:val="22"/>
                <w:szCs w:val="22"/>
              </w:rPr>
              <w:t>OQ317942</w:t>
            </w:r>
            <w:r>
              <w:rPr>
                <w:rFonts w:ascii="Arial" w:hAnsi="Arial" w:cs="Arial"/>
                <w:sz w:val="22"/>
                <w:szCs w:val="22"/>
              </w:rPr>
              <w:t>.1</w:t>
            </w:r>
          </w:p>
        </w:tc>
        <w:tc>
          <w:tcPr>
            <w:tcW w:w="767" w:type="dxa"/>
            <w:vAlign w:val="center"/>
          </w:tcPr>
          <w:p w14:paraId="731FD5F7" w14:textId="77777777" w:rsidR="00D33A63" w:rsidRPr="00F713B0" w:rsidRDefault="00D33A63" w:rsidP="007D4A0E">
            <w:pPr>
              <w:rPr>
                <w:rFonts w:ascii="Arial" w:hAnsi="Arial" w:cs="Arial"/>
                <w:sz w:val="22"/>
                <w:szCs w:val="22"/>
                <w:lang w:val="en-GB"/>
              </w:rPr>
            </w:pPr>
            <w:r>
              <w:rPr>
                <w:rFonts w:ascii="Arial" w:hAnsi="Arial" w:cs="Arial"/>
                <w:sz w:val="22"/>
                <w:szCs w:val="22"/>
                <w:lang w:val="en-GB"/>
              </w:rPr>
              <w:t>52.63</w:t>
            </w:r>
          </w:p>
        </w:tc>
        <w:tc>
          <w:tcPr>
            <w:tcW w:w="694" w:type="dxa"/>
            <w:vAlign w:val="center"/>
          </w:tcPr>
          <w:p w14:paraId="276051AE" w14:textId="77777777" w:rsidR="00D33A63" w:rsidRPr="00F713B0" w:rsidRDefault="00D33A63" w:rsidP="007D4A0E">
            <w:pPr>
              <w:rPr>
                <w:rFonts w:ascii="Arial" w:hAnsi="Arial" w:cs="Arial"/>
                <w:sz w:val="22"/>
                <w:szCs w:val="22"/>
                <w:lang w:val="en-GB"/>
              </w:rPr>
            </w:pPr>
            <w:r>
              <w:rPr>
                <w:rFonts w:ascii="Arial" w:hAnsi="Arial" w:cs="Arial"/>
                <w:sz w:val="22"/>
                <w:szCs w:val="22"/>
                <w:lang w:val="en-GB"/>
              </w:rPr>
              <w:t>36.0</w:t>
            </w:r>
          </w:p>
        </w:tc>
        <w:tc>
          <w:tcPr>
            <w:tcW w:w="850" w:type="dxa"/>
            <w:vAlign w:val="center"/>
          </w:tcPr>
          <w:p w14:paraId="352A37E2" w14:textId="77777777" w:rsidR="00D33A63" w:rsidRPr="00F713B0" w:rsidRDefault="00D33A63" w:rsidP="007D4A0E">
            <w:pPr>
              <w:rPr>
                <w:rFonts w:ascii="Arial" w:hAnsi="Arial" w:cs="Arial"/>
                <w:sz w:val="22"/>
                <w:szCs w:val="22"/>
              </w:rPr>
            </w:pPr>
            <w:r>
              <w:rPr>
                <w:rFonts w:ascii="Arial" w:hAnsi="Arial" w:cs="Arial"/>
                <w:sz w:val="22"/>
                <w:szCs w:val="22"/>
              </w:rPr>
              <w:t>85</w:t>
            </w:r>
          </w:p>
        </w:tc>
        <w:tc>
          <w:tcPr>
            <w:tcW w:w="1084" w:type="dxa"/>
            <w:tcBorders>
              <w:top w:val="single" w:sz="4" w:space="0" w:color="auto"/>
              <w:left w:val="single" w:sz="4" w:space="0" w:color="auto"/>
              <w:bottom w:val="single" w:sz="4" w:space="0" w:color="auto"/>
              <w:right w:val="single" w:sz="4" w:space="0" w:color="auto"/>
            </w:tcBorders>
            <w:vAlign w:val="center"/>
          </w:tcPr>
          <w:p w14:paraId="2FAEB15E" w14:textId="77777777" w:rsidR="00D33A63" w:rsidRPr="00F713B0" w:rsidRDefault="00D33A63" w:rsidP="007D4A0E">
            <w:pPr>
              <w:rPr>
                <w:rFonts w:ascii="Arial" w:hAnsi="Arial" w:cs="Arial"/>
                <w:sz w:val="22"/>
                <w:szCs w:val="22"/>
              </w:rPr>
            </w:pPr>
            <w:r w:rsidRPr="00F713B0">
              <w:rPr>
                <w:rFonts w:ascii="Arial" w:hAnsi="Arial" w:cs="Arial"/>
                <w:sz w:val="22"/>
                <w:szCs w:val="22"/>
              </w:rPr>
              <w:t>100</w:t>
            </w:r>
          </w:p>
        </w:tc>
        <w:tc>
          <w:tcPr>
            <w:tcW w:w="1306" w:type="dxa"/>
            <w:tcBorders>
              <w:top w:val="single" w:sz="4" w:space="0" w:color="auto"/>
              <w:left w:val="single" w:sz="4" w:space="0" w:color="auto"/>
              <w:bottom w:val="single" w:sz="4" w:space="0" w:color="auto"/>
              <w:right w:val="single" w:sz="4" w:space="0" w:color="auto"/>
            </w:tcBorders>
            <w:vAlign w:val="center"/>
          </w:tcPr>
          <w:p w14:paraId="5BD73BF0" w14:textId="77777777" w:rsidR="00D33A63" w:rsidRPr="00E916FB" w:rsidRDefault="00D33A63" w:rsidP="007D4A0E">
            <w:pPr>
              <w:rPr>
                <w:rFonts w:ascii="Arial" w:hAnsi="Arial" w:cs="Arial"/>
                <w:sz w:val="20"/>
                <w:szCs w:val="20"/>
              </w:rPr>
            </w:pPr>
            <w:r w:rsidRPr="00E916FB">
              <w:rPr>
                <w:rFonts w:ascii="Arial" w:hAnsi="Arial" w:cs="Arial"/>
                <w:sz w:val="20"/>
                <w:szCs w:val="20"/>
              </w:rPr>
              <w:t>100</w:t>
            </w:r>
          </w:p>
        </w:tc>
      </w:tr>
    </w:tbl>
    <w:p w14:paraId="43C36E0D" w14:textId="77777777" w:rsidR="00D33A63" w:rsidRDefault="00D33A63" w:rsidP="00D33A63">
      <w:pPr>
        <w:rPr>
          <w:rFonts w:ascii="Arial" w:hAnsi="Arial" w:cs="Arial"/>
          <w:b/>
          <w:sz w:val="22"/>
          <w:szCs w:val="22"/>
        </w:rPr>
      </w:pPr>
    </w:p>
    <w:p w14:paraId="3B61B1C7" w14:textId="321C7122" w:rsidR="00D33A63" w:rsidRDefault="00D33A63" w:rsidP="00D33A63">
      <w:pPr>
        <w:rPr>
          <w:rFonts w:ascii="Arial" w:hAnsi="Arial" w:cs="Arial"/>
          <w:bCs/>
          <w:sz w:val="22"/>
          <w:szCs w:val="22"/>
        </w:rPr>
      </w:pPr>
      <w:r w:rsidRPr="00BA55E5">
        <w:rPr>
          <w:rFonts w:ascii="Arial" w:hAnsi="Arial" w:cs="Arial"/>
          <w:b/>
          <w:color w:val="0000FF"/>
          <w:sz w:val="22"/>
          <w:szCs w:val="22"/>
        </w:rPr>
        <w:t>Conclusion:</w:t>
      </w:r>
      <w:r w:rsidRPr="00237AC8">
        <w:rPr>
          <w:rFonts w:ascii="Arial" w:hAnsi="Arial" w:cs="Arial"/>
          <w:b/>
          <w:color w:val="0000FF"/>
          <w:sz w:val="22"/>
          <w:szCs w:val="22"/>
        </w:rPr>
        <w:t xml:space="preserve"> </w:t>
      </w:r>
      <w:r w:rsidRPr="00D33A63">
        <w:rPr>
          <w:rFonts w:ascii="Arial" w:hAnsi="Arial" w:cs="Arial"/>
          <w:bCs/>
          <w:sz w:val="22"/>
          <w:szCs w:val="22"/>
        </w:rPr>
        <w:t>A genus comprised of a single species is proposed</w:t>
      </w:r>
      <w:r w:rsidRPr="00D33A63">
        <w:rPr>
          <w:rFonts w:ascii="Arial" w:hAnsi="Arial" w:cs="Arial"/>
          <w:b/>
          <w:sz w:val="22"/>
          <w:szCs w:val="22"/>
        </w:rPr>
        <w:t xml:space="preserve"> </w:t>
      </w:r>
      <w:r>
        <w:rPr>
          <w:rFonts w:ascii="Arial" w:hAnsi="Arial" w:cs="Arial"/>
          <w:bCs/>
          <w:sz w:val="22"/>
          <w:szCs w:val="22"/>
        </w:rPr>
        <w:t xml:space="preserve">on the basis of DNA (Fig. 1) and protein (Fig. 2) similarity; and phylogenetic analysis of the TerL proteins (Fig. 3). </w:t>
      </w:r>
    </w:p>
    <w:p w14:paraId="2DEDFCF4" w14:textId="77777777" w:rsidR="00D33A63" w:rsidRDefault="00D33A63" w:rsidP="00D33A63">
      <w:pPr>
        <w:rPr>
          <w:rFonts w:ascii="Arial" w:hAnsi="Arial" w:cs="Arial"/>
          <w:bCs/>
          <w:sz w:val="22"/>
          <w:szCs w:val="22"/>
        </w:rPr>
      </w:pPr>
    </w:p>
    <w:bookmarkEnd w:id="4"/>
    <w:p w14:paraId="1E0DF86E" w14:textId="77777777" w:rsidR="00D33A63" w:rsidRDefault="00D33A63" w:rsidP="00D33A63">
      <w:pPr>
        <w:spacing w:before="120" w:after="120"/>
        <w:rPr>
          <w:rFonts w:ascii="Arial" w:hAnsi="Arial" w:cs="Arial"/>
          <w:b/>
        </w:rPr>
      </w:pPr>
    </w:p>
    <w:p w14:paraId="19005AFF" w14:textId="77777777" w:rsidR="00D33A63" w:rsidRDefault="00D33A63" w:rsidP="00D33A63">
      <w:pPr>
        <w:spacing w:before="120" w:after="120"/>
        <w:rPr>
          <w:rFonts w:ascii="Arial" w:hAnsi="Arial" w:cs="Arial"/>
          <w:b/>
        </w:rPr>
      </w:pPr>
    </w:p>
    <w:p w14:paraId="3DAFA39B" w14:textId="77777777" w:rsidR="00D33A63" w:rsidRDefault="00D33A63" w:rsidP="00D33A63">
      <w:pPr>
        <w:spacing w:before="120" w:after="120"/>
        <w:rPr>
          <w:rFonts w:ascii="Arial" w:hAnsi="Arial" w:cs="Arial"/>
          <w:b/>
        </w:rPr>
      </w:pPr>
      <w:r>
        <w:rPr>
          <w:rFonts w:ascii="Arial" w:hAnsi="Arial" w:cs="Arial"/>
          <w:b/>
        </w:rPr>
        <w:t>References</w:t>
      </w:r>
    </w:p>
    <w:p w14:paraId="16244947" w14:textId="77777777" w:rsidR="00D33A63" w:rsidRPr="00D33A63" w:rsidRDefault="00D33A63" w:rsidP="00D33A63">
      <w:pPr>
        <w:spacing w:before="120" w:after="120"/>
        <w:rPr>
          <w:rFonts w:ascii="Arial" w:hAnsi="Arial" w:cs="Arial"/>
          <w:bCs/>
          <w:sz w:val="22"/>
          <w:szCs w:val="22"/>
        </w:rPr>
      </w:pPr>
      <w:r w:rsidRPr="005A6FDD">
        <w:rPr>
          <w:rFonts w:ascii="Arial" w:hAnsi="Arial" w:cs="Arial"/>
          <w:bCs/>
        </w:rPr>
        <w:t>1.</w:t>
      </w:r>
      <w:r w:rsidRPr="005A6FDD">
        <w:rPr>
          <w:rFonts w:ascii="Arial" w:hAnsi="Arial" w:cs="Arial"/>
          <w:bCs/>
        </w:rPr>
        <w:tab/>
      </w:r>
      <w:r w:rsidRPr="00D33A63">
        <w:rPr>
          <w:rFonts w:ascii="Arial" w:hAnsi="Arial" w:cs="Arial"/>
          <w:bCs/>
          <w:sz w:val="22"/>
          <w:szCs w:val="22"/>
        </w:rPr>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091BE5B7" w14:textId="77777777" w:rsidR="00D33A63" w:rsidRPr="00D33A63" w:rsidRDefault="00D33A63" w:rsidP="00D33A63">
      <w:pPr>
        <w:spacing w:before="120" w:after="120"/>
        <w:rPr>
          <w:rFonts w:ascii="Arial" w:hAnsi="Arial" w:cs="Arial"/>
          <w:bCs/>
          <w:sz w:val="22"/>
          <w:szCs w:val="22"/>
        </w:rPr>
      </w:pPr>
      <w:r w:rsidRPr="00D33A63">
        <w:rPr>
          <w:rFonts w:ascii="Arial" w:hAnsi="Arial" w:cs="Arial"/>
          <w:bCs/>
          <w:sz w:val="22"/>
          <w:szCs w:val="22"/>
        </w:rPr>
        <w:t>2.       O'Leary NA, Wright MW, Brister JR, Ciufo S, Haddad D, McVeigh R, et al. Reference sequence (RefSeq) database at NCBI: current status, taxonomic expansion, and functional annotation. Nucleic Acids Res. 2016;44(D1):D733-45. doi: 10.1093/nar/gkv1189. PMID: 26553804.</w:t>
      </w:r>
    </w:p>
    <w:p w14:paraId="0E484472" w14:textId="77777777" w:rsidR="00D33A63" w:rsidRPr="00D33A63" w:rsidRDefault="00D33A63" w:rsidP="00D33A63">
      <w:pPr>
        <w:spacing w:before="120" w:after="120"/>
        <w:rPr>
          <w:rFonts w:ascii="Arial" w:hAnsi="Arial" w:cs="Arial"/>
          <w:bCs/>
          <w:sz w:val="22"/>
          <w:szCs w:val="22"/>
        </w:rPr>
      </w:pPr>
      <w:r w:rsidRPr="00D33A63">
        <w:rPr>
          <w:rFonts w:ascii="Arial" w:hAnsi="Arial" w:cs="Arial"/>
          <w:bCs/>
          <w:sz w:val="22"/>
          <w:szCs w:val="22"/>
        </w:rPr>
        <w:t>3.</w:t>
      </w:r>
      <w:r w:rsidRPr="00D33A63">
        <w:rPr>
          <w:rFonts w:ascii="Arial" w:hAnsi="Arial" w:cs="Arial"/>
          <w:bCs/>
          <w:sz w:val="22"/>
          <w:szCs w:val="22"/>
        </w:rPr>
        <w:tab/>
        <w:t>Moraru C, Varsani A, Kropinski AM. VIRIDIC-A Novel Tool to Calculate the Intergenomic Similarities of Prokaryote-Infecting Viruses. Viruses. 2020 Nov 6;12(11):1268. doi: 10.3390/v12111268. PMID: 33172115; PMCID: PMC7694805. http://kronos.icbm.uni-oldenburg.de/viridic/</w:t>
      </w:r>
    </w:p>
    <w:p w14:paraId="05768E47" w14:textId="77777777" w:rsidR="00D33A63" w:rsidRPr="00D33A63" w:rsidRDefault="00D33A63" w:rsidP="00D33A63">
      <w:pPr>
        <w:spacing w:before="120" w:after="120"/>
        <w:rPr>
          <w:rFonts w:ascii="Arial" w:hAnsi="Arial" w:cs="Arial"/>
          <w:bCs/>
          <w:sz w:val="22"/>
          <w:szCs w:val="22"/>
        </w:rPr>
      </w:pPr>
      <w:r w:rsidRPr="00D33A63">
        <w:rPr>
          <w:rFonts w:ascii="Arial" w:hAnsi="Arial" w:cs="Arial"/>
          <w:bCs/>
          <w:sz w:val="22"/>
          <w:szCs w:val="22"/>
        </w:rPr>
        <w:lastRenderedPageBreak/>
        <w:t>4.</w:t>
      </w:r>
      <w:r w:rsidRPr="00D33A63">
        <w:rPr>
          <w:rFonts w:ascii="Arial" w:hAnsi="Arial" w:cs="Arial"/>
          <w:bCs/>
          <w:sz w:val="22"/>
          <w:szCs w:val="22"/>
        </w:rPr>
        <w:tab/>
        <w:t xml:space="preserve">Nishimura Y, Yoshida T, Kuronishi M, Uehara H, Ogata H, Goto S. ViPTree: the viral proteomic tree server. Bioinformatics. 2017; 33(15):2379-2380. doi:10.1093/bioinformatics/btx157. PubMed PMID: 28379287. https://www.genome.jp/viptree/ </w:t>
      </w:r>
    </w:p>
    <w:p w14:paraId="303CEA7F" w14:textId="77777777" w:rsidR="00D33A63" w:rsidRPr="00D33A63" w:rsidRDefault="00D33A63" w:rsidP="00D33A63">
      <w:pPr>
        <w:spacing w:before="120" w:after="120"/>
        <w:rPr>
          <w:rFonts w:ascii="Arial" w:hAnsi="Arial" w:cs="Arial"/>
          <w:bCs/>
          <w:sz w:val="22"/>
          <w:szCs w:val="22"/>
        </w:rPr>
      </w:pPr>
      <w:r w:rsidRPr="00D33A63">
        <w:rPr>
          <w:rFonts w:ascii="Arial" w:hAnsi="Arial" w:cs="Arial"/>
          <w:bCs/>
          <w:sz w:val="22"/>
          <w:szCs w:val="22"/>
        </w:rPr>
        <w:t>5.       Rohwer F, Edwards R. The Phage Proteomic Tree: a genome-based taxonomy for phage. J Bacteriol. 2002 Aug;184(16):4529-35. PubMed PMID: 12142423</w:t>
      </w:r>
      <w:r w:rsidRPr="00D33A63">
        <w:rPr>
          <w:rFonts w:ascii="Arial" w:hAnsi="Arial" w:cs="Arial"/>
          <w:bCs/>
          <w:sz w:val="22"/>
          <w:szCs w:val="22"/>
        </w:rPr>
        <w:tab/>
        <w:t xml:space="preserve"> </w:t>
      </w:r>
    </w:p>
    <w:p w14:paraId="2BFCE686" w14:textId="77777777" w:rsidR="00D33A63" w:rsidRPr="00D33A63" w:rsidRDefault="00D33A63" w:rsidP="00D33A63">
      <w:pPr>
        <w:spacing w:before="120" w:after="120"/>
        <w:rPr>
          <w:rFonts w:ascii="Arial" w:hAnsi="Arial" w:cs="Arial"/>
          <w:bCs/>
          <w:sz w:val="22"/>
          <w:szCs w:val="22"/>
        </w:rPr>
      </w:pPr>
      <w:r w:rsidRPr="00D33A63">
        <w:rPr>
          <w:rFonts w:ascii="Arial" w:hAnsi="Arial" w:cs="Arial"/>
          <w:bCs/>
          <w:sz w:val="22"/>
          <w:szCs w:val="22"/>
        </w:rPr>
        <w:t>6.</w:t>
      </w:r>
      <w:r w:rsidRPr="00D33A63">
        <w:rPr>
          <w:rFonts w:ascii="Arial" w:hAnsi="Arial" w:cs="Arial"/>
          <w:bCs/>
          <w:sz w:val="22"/>
          <w:szCs w:val="22"/>
        </w:rPr>
        <w:tab/>
        <w:t>Turner D, Reynolds D, Seto D, Mahadevan P. CoreGenes3.5: a webserver for the determination of core genes from sets of viral and small bacterial genomes. BMC Res Notes. 2013;6:140. doi: 10.1186/1756-0500-6-140.  PMID:   23566564.</w:t>
      </w:r>
    </w:p>
    <w:p w14:paraId="20247B19" w14:textId="77777777" w:rsidR="00D33A63" w:rsidRPr="00D33A63" w:rsidRDefault="00D33A63" w:rsidP="00D33A63">
      <w:pPr>
        <w:spacing w:before="120" w:after="120"/>
        <w:rPr>
          <w:rFonts w:ascii="Arial" w:hAnsi="Arial" w:cs="Arial"/>
          <w:bCs/>
          <w:sz w:val="22"/>
          <w:szCs w:val="22"/>
        </w:rPr>
      </w:pPr>
      <w:r w:rsidRPr="00D33A63">
        <w:rPr>
          <w:rFonts w:ascii="Arial" w:hAnsi="Arial" w:cs="Arial"/>
          <w:bCs/>
          <w:sz w:val="22"/>
          <w:szCs w:val="22"/>
        </w:rPr>
        <w:t>7.      Davis P, Seto D, Mahadevan P. CoreGenes5.0: An Updated User-Friendly Webserver for the Determination of Core Genes from Sets of Viral and Bacterial Genomes. Viruses. 2022 Nov 16;14(11):2534. doi: 10.3390/v14112534. PMID: 36423143; PMCID: PMC9693508.</w:t>
      </w:r>
    </w:p>
    <w:p w14:paraId="32932E72" w14:textId="77777777" w:rsidR="00D33A63" w:rsidRPr="00D33A63" w:rsidRDefault="00D33A63" w:rsidP="00D33A63">
      <w:pPr>
        <w:spacing w:before="120" w:after="120"/>
        <w:rPr>
          <w:rFonts w:ascii="Arial" w:hAnsi="Arial" w:cs="Arial"/>
          <w:bCs/>
          <w:sz w:val="22"/>
          <w:szCs w:val="22"/>
        </w:rPr>
      </w:pPr>
      <w:r w:rsidRPr="00D33A63">
        <w:rPr>
          <w:rFonts w:ascii="Arial" w:hAnsi="Arial" w:cs="Arial"/>
          <w:bCs/>
          <w:sz w:val="22"/>
          <w:szCs w:val="22"/>
        </w:rPr>
        <w:t>8.</w:t>
      </w:r>
      <w:r w:rsidRPr="00D33A63">
        <w:rPr>
          <w:rFonts w:ascii="Arial" w:hAnsi="Arial" w:cs="Arial"/>
          <w:bCs/>
          <w:sz w:val="22"/>
          <w:szCs w:val="22"/>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369A660" w14:textId="77777777" w:rsidR="00D33A63" w:rsidRPr="00D33A63" w:rsidRDefault="00D33A63" w:rsidP="00D33A63">
      <w:pPr>
        <w:spacing w:before="120" w:after="120"/>
        <w:rPr>
          <w:rFonts w:ascii="Arial" w:hAnsi="Arial" w:cs="Arial"/>
          <w:bCs/>
          <w:sz w:val="22"/>
          <w:szCs w:val="22"/>
        </w:rPr>
      </w:pPr>
      <w:r w:rsidRPr="00D33A63">
        <w:rPr>
          <w:rFonts w:ascii="Arial" w:hAnsi="Arial" w:cs="Arial"/>
          <w:bCs/>
          <w:sz w:val="22"/>
          <w:szCs w:val="22"/>
        </w:rPr>
        <w:t>9.</w:t>
      </w:r>
      <w:r w:rsidRPr="00D33A63">
        <w:rPr>
          <w:rFonts w:ascii="Arial" w:hAnsi="Arial" w:cs="Arial"/>
          <w:bCs/>
          <w:sz w:val="22"/>
          <w:szCs w:val="22"/>
        </w:rPr>
        <w:tab/>
        <w:t>Anisimova M, Gascuel O. Approximate likelihood-ratio test for branches: A fast, accurate, and powerful alternative. Syst Biol. 2006;55(4):539-52.  PMID: 16785212.  DOI:     10.1080/10635150600755453.</w:t>
      </w:r>
    </w:p>
    <w:p w14:paraId="17209E59" w14:textId="77777777" w:rsidR="00D33A63" w:rsidRPr="00D33A63" w:rsidRDefault="00D33A63" w:rsidP="00D33A63">
      <w:pPr>
        <w:spacing w:before="120" w:after="120"/>
        <w:rPr>
          <w:rFonts w:ascii="Arial" w:hAnsi="Arial" w:cs="Arial"/>
          <w:bCs/>
          <w:sz w:val="22"/>
          <w:szCs w:val="22"/>
        </w:rPr>
      </w:pPr>
      <w:r w:rsidRPr="00D33A63">
        <w:rPr>
          <w:rFonts w:ascii="Arial" w:hAnsi="Arial" w:cs="Arial"/>
          <w:bCs/>
          <w:sz w:val="22"/>
          <w:szCs w:val="22"/>
        </w:rPr>
        <w:t>10.</w:t>
      </w:r>
      <w:r w:rsidRPr="00D33A63">
        <w:rPr>
          <w:rFonts w:ascii="Arial" w:hAnsi="Arial" w:cs="Arial"/>
          <w:bCs/>
          <w:sz w:val="22"/>
          <w:szCs w:val="22"/>
        </w:rPr>
        <w:tab/>
        <w:t>Turner D, Kropinski AM, Adriaenssens EM. A Roadmap for Genome-Based Phage Taxonomy. Viruses. 2021 Mar 18;13(3):506. doi: 10.3390/v13030506. PMID: 33803862; PMCID: PMC8003253.</w:t>
      </w:r>
    </w:p>
    <w:p w14:paraId="3437A237" w14:textId="403621F4" w:rsidR="00A174CC" w:rsidRPr="00D33A63" w:rsidRDefault="00A174CC" w:rsidP="00D33A63">
      <w:pPr>
        <w:rPr>
          <w:rFonts w:ascii="Arial" w:hAnsi="Arial" w:cs="Arial"/>
          <w:b/>
          <w:sz w:val="22"/>
          <w:szCs w:val="22"/>
        </w:rPr>
      </w:pPr>
    </w:p>
    <w:sectPr w:rsidR="00A174CC" w:rsidRPr="00D33A63">
      <w:headerReference w:type="default" r:id="rId15"/>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F7755C" w14:textId="77777777" w:rsidR="006E7BA4" w:rsidRDefault="006E7BA4">
      <w:r>
        <w:separator/>
      </w:r>
    </w:p>
  </w:endnote>
  <w:endnote w:type="continuationSeparator" w:id="0">
    <w:p w14:paraId="590A1965" w14:textId="77777777" w:rsidR="006E7BA4" w:rsidRDefault="006E7B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20B0604020202020204"/>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76C1FA" w14:textId="77777777" w:rsidR="006E7BA4" w:rsidRDefault="006E7BA4">
      <w:r>
        <w:separator/>
      </w:r>
    </w:p>
  </w:footnote>
  <w:footnote w:type="continuationSeparator" w:id="0">
    <w:p w14:paraId="74B28701" w14:textId="77777777" w:rsidR="006E7BA4" w:rsidRDefault="006E7B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7260C9"/>
    <w:multiLevelType w:val="hybridMultilevel"/>
    <w:tmpl w:val="37D6808C"/>
    <w:lvl w:ilvl="0" w:tplc="10090015">
      <w:start w:val="1"/>
      <w:numFmt w:val="upperLetter"/>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682478E1"/>
    <w:multiLevelType w:val="hybridMultilevel"/>
    <w:tmpl w:val="FF8AFE60"/>
    <w:lvl w:ilvl="0" w:tplc="10090015">
      <w:start w:val="1"/>
      <w:numFmt w:val="upperLetter"/>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596354172">
    <w:abstractNumId w:val="1"/>
  </w:num>
  <w:num w:numId="2" w16cid:durableId="1176191213">
    <w:abstractNumId w:val="3"/>
  </w:num>
  <w:num w:numId="3" w16cid:durableId="1140539896">
    <w:abstractNumId w:val="0"/>
  </w:num>
  <w:num w:numId="4" w16cid:durableId="24310550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35A87"/>
    <w:rsid w:val="000A146A"/>
    <w:rsid w:val="000F51F4"/>
    <w:rsid w:val="000F7067"/>
    <w:rsid w:val="0013113D"/>
    <w:rsid w:val="00255BAE"/>
    <w:rsid w:val="00257966"/>
    <w:rsid w:val="002D5209"/>
    <w:rsid w:val="0037243A"/>
    <w:rsid w:val="0043110C"/>
    <w:rsid w:val="00437970"/>
    <w:rsid w:val="004F3196"/>
    <w:rsid w:val="005231CF"/>
    <w:rsid w:val="00543F86"/>
    <w:rsid w:val="005A54C3"/>
    <w:rsid w:val="006E7BA4"/>
    <w:rsid w:val="008815EE"/>
    <w:rsid w:val="00A174CC"/>
    <w:rsid w:val="00A2357C"/>
    <w:rsid w:val="00AD759B"/>
    <w:rsid w:val="00B35CC8"/>
    <w:rsid w:val="00B47589"/>
    <w:rsid w:val="00B960BB"/>
    <w:rsid w:val="00D33A63"/>
    <w:rsid w:val="00DB442D"/>
    <w:rsid w:val="00E034BE"/>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ListParagraph">
    <w:name w:val="List Paragraph"/>
    <w:basedOn w:val="Normal"/>
    <w:uiPriority w:val="34"/>
    <w:qFormat/>
    <w:rsid w:val="00D33A6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tif"/><Relationship Id="rId13" Type="http://schemas.openxmlformats.org/officeDocument/2006/relationships/hyperlink" Target="https://www.ncbi.nlm.nih.gov/nuccore/OK500002.1"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about:blank"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tif"/><Relationship Id="rId4" Type="http://schemas.openxmlformats.org/officeDocument/2006/relationships/webSettings" Target="webSettings.xml"/><Relationship Id="rId9" Type="http://schemas.openxmlformats.org/officeDocument/2006/relationships/image" Target="media/image3.tif"/><Relationship Id="rId14" Type="http://schemas.openxmlformats.org/officeDocument/2006/relationships/hyperlink" Target="https://www.ncbi.nlm.nih.gov/genome/brows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7</Pages>
  <Words>1393</Words>
  <Characters>7942</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F. Murilo Zerbini</cp:lastModifiedBy>
  <cp:revision>4</cp:revision>
  <dcterms:created xsi:type="dcterms:W3CDTF">2023-06-27T15:28:00Z</dcterms:created>
  <dcterms:modified xsi:type="dcterms:W3CDTF">2023-07-04T03:16:00Z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